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微软雅黑" w:hAnsi="微软雅黑" w:eastAsia="微软雅黑" w:cs="微软雅黑"/>
          <w:i w:val="0"/>
          <w:caps w:val="0"/>
          <w:color w:val="1E1E1E"/>
          <w:spacing w:val="0"/>
          <w:sz w:val="24"/>
          <w:szCs w:val="24"/>
          <w:highlight w:val="none"/>
          <w:shd w:val="clear" w:fill="FFFFFF"/>
        </w:rPr>
      </w:pPr>
      <w:r>
        <w:rPr>
          <w:rFonts w:hint="eastAsia" w:ascii="微软雅黑" w:hAnsi="微软雅黑" w:eastAsia="微软雅黑" w:cs="微软雅黑"/>
          <w:i w:val="0"/>
          <w:caps w:val="0"/>
          <w:color w:val="1E1E1E"/>
          <w:spacing w:val="0"/>
          <w:sz w:val="24"/>
          <w:szCs w:val="24"/>
          <w:highlight w:val="none"/>
          <w:shd w:val="clear" w:fill="FFFFFF"/>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微软雅黑" w:hAnsi="微软雅黑" w:eastAsia="微软雅黑" w:cs="微软雅黑"/>
          <w:i w:val="0"/>
          <w:caps w:val="0"/>
          <w:color w:val="1E1E1E"/>
          <w:spacing w:val="0"/>
          <w:sz w:val="24"/>
          <w:szCs w:val="24"/>
          <w:highlight w:val="none"/>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jc w:val="center"/>
        <w:rPr>
          <w:rFonts w:hint="eastAsia" w:ascii="微软雅黑" w:hAnsi="微软雅黑" w:eastAsia="微软雅黑" w:cs="微软雅黑"/>
          <w:i w:val="0"/>
          <w:caps w:val="0"/>
          <w:color w:val="1E1E1E"/>
          <w:spacing w:val="0"/>
          <w:sz w:val="24"/>
          <w:szCs w:val="24"/>
          <w:highlight w:val="none"/>
          <w:shd w:val="clear" w:fill="FFFFFF"/>
        </w:rPr>
      </w:pPr>
      <w:bookmarkStart w:id="0" w:name="_GoBack"/>
      <w:r>
        <w:rPr>
          <w:rFonts w:hint="eastAsia" w:ascii="微软雅黑" w:hAnsi="微软雅黑" w:eastAsia="微软雅黑" w:cs="微软雅黑"/>
          <w:i w:val="0"/>
          <w:caps w:val="0"/>
          <w:color w:val="1E1E1E"/>
          <w:spacing w:val="0"/>
          <w:sz w:val="24"/>
          <w:szCs w:val="24"/>
          <w:highlight w:val="none"/>
          <w:shd w:val="clear" w:fill="FFFFFF"/>
        </w:rPr>
        <w:t>省地方志办2023年方志广东品牌打造服务项目需求</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jc w:val="center"/>
        <w:rPr>
          <w:rFonts w:hint="eastAsia" w:ascii="微软雅黑" w:hAnsi="微软雅黑" w:eastAsia="微软雅黑" w:cs="微软雅黑"/>
          <w:i w:val="0"/>
          <w:caps w:val="0"/>
          <w:color w:val="1E1E1E"/>
          <w:spacing w:val="0"/>
          <w:sz w:val="24"/>
          <w:szCs w:val="24"/>
          <w:highlight w:val="none"/>
          <w:shd w:val="clear" w:fill="FFFFFF"/>
        </w:rPr>
      </w:pPr>
    </w:p>
    <w:p>
      <w:pPr>
        <w:adjustRightInd w:val="0"/>
        <w:snapToGrid w:val="0"/>
        <w:spacing w:line="276"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一、项目背景</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贯彻落实习近平新时代中国特色社会主义思想，根据《广东省地方志工作条例》，省委办公厅、省政府办公厅关于《进一步加强新时代地方志工作的通知》，及省地方志办《关于加快推进全省地方志数字化工作的通知》要求，繁荣我省地方志文化事业，通过“互联网+”数字化变革激发地方志的创新创造活力，提升全省的地方志文化产业竞争力，深入挖掘地方文化和地情资源，采用文字、声音、影像、动画、</w:t>
      </w:r>
      <w:r>
        <w:rPr>
          <w:rFonts w:hint="eastAsia" w:ascii="仿宋_GB2312" w:hAnsi="仿宋_GB2312" w:eastAsia="仿宋_GB2312" w:cs="仿宋_GB2312"/>
          <w:color w:val="000000"/>
          <w:sz w:val="30"/>
          <w:szCs w:val="30"/>
        </w:rPr>
        <w:t>网页等多种媒体表现手段（多媒体），利用新媒体平台</w:t>
      </w:r>
      <w:r>
        <w:rPr>
          <w:rFonts w:hint="eastAsia" w:ascii="仿宋_GB2312" w:hAnsi="仿宋_GB2312" w:eastAsia="仿宋_GB2312" w:cs="仿宋_GB2312"/>
          <w:sz w:val="30"/>
          <w:szCs w:val="30"/>
        </w:rPr>
        <w:t>充分发挥展示地方志推介作用，以人民群众喜闻乐见的方式进行地方文化传播，切实讲好广东故事，让世界更好了解广东、读懂广东、认识广东。</w:t>
      </w:r>
    </w:p>
    <w:p>
      <w:pPr>
        <w:adjustRightInd w:val="0"/>
        <w:snapToGrid w:val="0"/>
        <w:spacing w:line="276"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二、项目需求</w:t>
      </w:r>
    </w:p>
    <w:p>
      <w:pPr>
        <w:adjustRightInd w:val="0"/>
        <w:snapToGrid w:val="0"/>
        <w:spacing w:line="276" w:lineRule="auto"/>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（一）主要内容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1.方志广东系列专题全年常规性宣传：按照政务新媒体建设规范，讲好广东故事，提升影响力</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（1）推送计划：制定传播计划，包括季度、月度传播规划。</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w:t>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zh-CN"/>
        </w:rPr>
        <w:t>）推送频率：每</w:t>
      </w:r>
      <w:r>
        <w:rPr>
          <w:rFonts w:hint="eastAsia" w:ascii="仿宋_GB2312" w:hAnsi="仿宋_GB2312" w:eastAsia="仿宋_GB2312" w:cs="仿宋_GB2312"/>
          <w:sz w:val="30"/>
          <w:szCs w:val="30"/>
        </w:rPr>
        <w:t>周</w:t>
      </w:r>
      <w:r>
        <w:rPr>
          <w:rFonts w:hint="eastAsia" w:ascii="仿宋_GB2312" w:hAnsi="仿宋_GB2312" w:eastAsia="仿宋_GB2312" w:cs="仿宋_GB2312"/>
          <w:sz w:val="30"/>
          <w:szCs w:val="30"/>
          <w:lang w:val="zh-CN"/>
        </w:rPr>
        <w:t>推送不少于</w:t>
      </w:r>
      <w:r>
        <w:rPr>
          <w:rFonts w:hint="eastAsia" w:ascii="仿宋_GB2312" w:hAnsi="仿宋_GB2312" w:eastAsia="仿宋_GB2312" w:cs="仿宋_GB2312"/>
          <w:sz w:val="30"/>
          <w:szCs w:val="30"/>
        </w:rPr>
        <w:t>4次</w:t>
      </w:r>
      <w:r>
        <w:rPr>
          <w:rFonts w:hint="eastAsia" w:ascii="仿宋_GB2312" w:hAnsi="仿宋_GB2312" w:eastAsia="仿宋_GB2312" w:cs="仿宋_GB2312"/>
          <w:sz w:val="30"/>
          <w:szCs w:val="30"/>
          <w:lang w:val="zh-CN"/>
        </w:rPr>
        <w:t>，如有突发情况或重要活动，需要积极主动配合。</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zh-CN"/>
        </w:rPr>
        <w:t>（</w:t>
      </w: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val="zh-CN"/>
        </w:rPr>
        <w:t>）推送内容：</w:t>
      </w:r>
      <w:r>
        <w:rPr>
          <w:rFonts w:hint="eastAsia" w:ascii="仿宋_GB2312" w:hAnsi="仿宋_GB2312" w:eastAsia="仿宋_GB2312" w:cs="仿宋_GB2312"/>
          <w:sz w:val="30"/>
          <w:szCs w:val="30"/>
        </w:rPr>
        <w:t>建立图文素材库，建设适合网站和新媒体推出的专题栏目</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个，结合时下热点话题及应季时节，原创或组稿形式策划接地气的广东地方志图文内容不少于</w:t>
      </w:r>
      <w:r>
        <w:rPr>
          <w:rFonts w:hint="eastAsia" w:ascii="仿宋_GB2312" w:hAnsi="仿宋_GB2312" w:eastAsia="仿宋_GB2312" w:cs="仿宋_GB2312"/>
          <w:sz w:val="30"/>
          <w:szCs w:val="30"/>
          <w:lang w:val="en-US" w:eastAsia="zh-CN"/>
        </w:rPr>
        <w:t>40</w:t>
      </w:r>
      <w:r>
        <w:rPr>
          <w:rFonts w:hint="eastAsia" w:ascii="仿宋_GB2312" w:hAnsi="仿宋_GB2312" w:eastAsia="仿宋_GB2312" w:cs="仿宋_GB2312"/>
          <w:sz w:val="30"/>
          <w:szCs w:val="30"/>
        </w:rPr>
        <w:t>篇。</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微软雅黑" w:hAnsi="微软雅黑" w:eastAsia="微软雅黑" w:cs="仿宋_GB2312"/>
          <w:sz w:val="24"/>
        </w:rPr>
      </w:pPr>
      <w:r>
        <w:rPr>
          <w:rFonts w:hint="eastAsia" w:ascii="仿宋_GB2312" w:hAnsi="仿宋_GB2312" w:eastAsia="仿宋_GB2312" w:cs="仿宋_GB2312"/>
          <w:sz w:val="30"/>
          <w:szCs w:val="30"/>
        </w:rPr>
        <w:t>（4）内容要求：文风契合互联网阅读习惯和新媒体传播特性，重点推荐文章配合设计原创海报。</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2.创新专题：数字化创新产品，增强传播力</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宣传性视频、互动宣传H5、海报</w:t>
      </w:r>
      <w:r>
        <w:rPr>
          <w:rFonts w:hint="eastAsia" w:ascii="仿宋_GB2312" w:hAnsi="仿宋_GB2312" w:eastAsia="仿宋_GB2312" w:cs="仿宋_GB2312"/>
          <w:sz w:val="30"/>
          <w:szCs w:val="30"/>
          <w:lang w:eastAsia="zh-Hans"/>
        </w:rPr>
        <w:t>、长图</w:t>
      </w:r>
      <w:r>
        <w:rPr>
          <w:rFonts w:hint="eastAsia" w:ascii="仿宋_GB2312" w:hAnsi="仿宋_GB2312" w:eastAsia="仿宋_GB2312" w:cs="仿宋_GB2312"/>
          <w:sz w:val="30"/>
          <w:szCs w:val="30"/>
        </w:rPr>
        <w:t>等</w:t>
      </w:r>
      <w:r>
        <w:rPr>
          <w:rFonts w:hint="eastAsia" w:ascii="仿宋_GB2312" w:hAnsi="仿宋_GB2312" w:eastAsia="仿宋_GB2312" w:cs="仿宋_GB2312"/>
          <w:sz w:val="30"/>
          <w:szCs w:val="30"/>
          <w:lang w:val="en-US" w:eastAsia="zh-CN"/>
        </w:rPr>
        <w:t>创新</w:t>
      </w:r>
      <w:r>
        <w:rPr>
          <w:rFonts w:hint="eastAsia" w:ascii="仿宋_GB2312" w:hAnsi="仿宋_GB2312" w:eastAsia="仿宋_GB2312" w:cs="仿宋_GB2312"/>
          <w:sz w:val="30"/>
          <w:szCs w:val="30"/>
        </w:rPr>
        <w:t>产品不少于</w:t>
      </w:r>
      <w:r>
        <w:rPr>
          <w:rFonts w:hint="default" w:ascii="仿宋_GB2312" w:hAnsi="仿宋_GB2312" w:eastAsia="仿宋_GB2312" w:cs="仿宋_GB2312"/>
          <w:sz w:val="30"/>
          <w:szCs w:val="30"/>
        </w:rPr>
        <w:t>5</w:t>
      </w:r>
      <w:r>
        <w:rPr>
          <w:rFonts w:hint="eastAsia" w:ascii="仿宋_GB2312" w:hAnsi="仿宋_GB2312" w:eastAsia="仿宋_GB2312" w:cs="仿宋_GB2312"/>
          <w:sz w:val="30"/>
          <w:szCs w:val="30"/>
        </w:rPr>
        <w:t>个。</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（1）“方志广东”系列vlog</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结合广东省乡村旅游精品线路，以</w:t>
      </w:r>
      <w:r>
        <w:rPr>
          <w:rFonts w:hint="eastAsia" w:ascii="仿宋_GB2312" w:hAnsi="仿宋_GB2312" w:eastAsia="仿宋_GB2312" w:cs="仿宋_GB2312"/>
          <w:sz w:val="30"/>
          <w:szCs w:val="30"/>
          <w:lang w:val="en-US" w:eastAsia="zh-Hans"/>
        </w:rPr>
        <w:t>小编探馆的</w:t>
      </w:r>
      <w:r>
        <w:rPr>
          <w:rFonts w:hint="eastAsia" w:ascii="仿宋_GB2312" w:hAnsi="仿宋_GB2312" w:eastAsia="仿宋_GB2312" w:cs="仿宋_GB2312"/>
          <w:sz w:val="30"/>
          <w:szCs w:val="30"/>
        </w:rPr>
        <w:t>形式，</w:t>
      </w:r>
      <w:r>
        <w:rPr>
          <w:rFonts w:hint="eastAsia" w:ascii="仿宋_GB2312" w:hAnsi="仿宋_GB2312" w:eastAsia="仿宋_GB2312" w:cs="仿宋_GB2312"/>
          <w:sz w:val="30"/>
          <w:szCs w:val="30"/>
          <w:lang w:val="en-US" w:eastAsia="zh-Hans"/>
        </w:rPr>
        <w:t>拍摄不少于</w:t>
      </w:r>
      <w:r>
        <w:rPr>
          <w:rFonts w:hint="default" w:ascii="仿宋_GB2312" w:hAnsi="仿宋_GB2312" w:eastAsia="仿宋_GB2312" w:cs="仿宋_GB2312"/>
          <w:sz w:val="30"/>
          <w:szCs w:val="30"/>
          <w:lang w:eastAsia="zh-Hans"/>
        </w:rPr>
        <w:t>2</w:t>
      </w:r>
      <w:r>
        <w:rPr>
          <w:rFonts w:hint="eastAsia" w:ascii="仿宋_GB2312" w:hAnsi="仿宋_GB2312" w:eastAsia="仿宋_GB2312" w:cs="仿宋_GB2312"/>
          <w:sz w:val="30"/>
          <w:szCs w:val="30"/>
          <w:lang w:val="en-US" w:eastAsia="zh-Hans"/>
        </w:rPr>
        <w:t>分钟的vlog视频，</w:t>
      </w:r>
      <w:r>
        <w:rPr>
          <w:rFonts w:hint="eastAsia" w:ascii="仿宋_GB2312" w:hAnsi="仿宋_GB2312" w:eastAsia="仿宋_GB2312" w:cs="仿宋_GB2312"/>
          <w:sz w:val="30"/>
          <w:szCs w:val="30"/>
        </w:rPr>
        <w:t>接地气地介绍广东村</w:t>
      </w:r>
      <w:r>
        <w:rPr>
          <w:rFonts w:hint="eastAsia" w:ascii="仿宋_GB2312" w:hAnsi="仿宋_GB2312" w:eastAsia="仿宋_GB2312" w:cs="仿宋_GB2312"/>
          <w:sz w:val="30"/>
          <w:szCs w:val="30"/>
          <w:lang w:eastAsia="zh-Hans"/>
        </w:rPr>
        <w:t>情馆</w:t>
      </w:r>
      <w:r>
        <w:rPr>
          <w:rFonts w:hint="eastAsia" w:ascii="仿宋_GB2312" w:hAnsi="仿宋_GB2312" w:eastAsia="仿宋_GB2312" w:cs="仿宋_GB2312"/>
          <w:sz w:val="30"/>
          <w:szCs w:val="30"/>
        </w:rPr>
        <w:t>、地道风物等内容。挖掘具有吸引力的广东方志内容，向各地观众宣传推介广东省情。</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计划</w:t>
      </w:r>
      <w:r>
        <w:rPr>
          <w:rFonts w:hint="eastAsia" w:ascii="仿宋_GB2312" w:hAnsi="仿宋_GB2312" w:eastAsia="仿宋_GB2312" w:cs="仿宋_GB2312"/>
          <w:sz w:val="30"/>
          <w:szCs w:val="30"/>
          <w:lang w:eastAsia="zh-Hans"/>
        </w:rPr>
        <w:t>半年</w:t>
      </w:r>
      <w:r>
        <w:rPr>
          <w:rFonts w:hint="eastAsia" w:ascii="仿宋_GB2312" w:hAnsi="仿宋_GB2312" w:eastAsia="仿宋_GB2312" w:cs="仿宋_GB2312"/>
          <w:sz w:val="30"/>
          <w:szCs w:val="30"/>
        </w:rPr>
        <w:t>创作1期，全年共计2期。</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（2）广东省情互动</w:t>
      </w:r>
      <w:r>
        <w:rPr>
          <w:rFonts w:hint="eastAsia" w:ascii="仿宋_GB2312" w:hAnsi="仿宋_GB2312" w:eastAsia="仿宋_GB2312" w:cs="仿宋_GB2312"/>
          <w:b/>
          <w:bCs/>
          <w:sz w:val="30"/>
          <w:szCs w:val="30"/>
          <w:lang w:eastAsia="zh-Hans"/>
        </w:rPr>
        <w:t>问答</w:t>
      </w:r>
      <w:r>
        <w:rPr>
          <w:rFonts w:hint="eastAsia" w:ascii="仿宋_GB2312" w:hAnsi="仿宋_GB2312" w:eastAsia="仿宋_GB2312" w:cs="仿宋_GB2312"/>
          <w:b/>
          <w:bCs/>
          <w:sz w:val="30"/>
          <w:szCs w:val="30"/>
        </w:rPr>
        <w:t>类H5</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以互动</w:t>
      </w:r>
      <w:r>
        <w:rPr>
          <w:rFonts w:hint="eastAsia" w:ascii="仿宋_GB2312" w:hAnsi="仿宋_GB2312" w:eastAsia="仿宋_GB2312" w:cs="仿宋_GB2312"/>
          <w:sz w:val="30"/>
          <w:szCs w:val="30"/>
          <w:lang w:eastAsia="zh-Hans"/>
        </w:rPr>
        <w:t>问答类H5</w:t>
      </w:r>
      <w:r>
        <w:rPr>
          <w:rFonts w:hint="eastAsia" w:ascii="仿宋_GB2312" w:hAnsi="仿宋_GB2312" w:eastAsia="仿宋_GB2312" w:cs="仿宋_GB2312"/>
          <w:sz w:val="30"/>
          <w:szCs w:val="30"/>
        </w:rPr>
        <w:t>，宣传推介广东省情。题库可涵盖岭南文化、风俗习惯、地理建筑等领域，H5开辟得分榜，榜首用户可获得荣誉或者相应奖励，以轻竞争形式激发大众的挑战欲。</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（3）重点节点宣传海报或</w:t>
      </w:r>
      <w:r>
        <w:rPr>
          <w:rFonts w:hint="default" w:ascii="仿宋_GB2312" w:hAnsi="仿宋_GB2312" w:eastAsia="仿宋_GB2312" w:cs="仿宋_GB2312"/>
          <w:b/>
          <w:bCs/>
          <w:sz w:val="30"/>
          <w:szCs w:val="30"/>
          <w:lang w:eastAsia="zh-Hans"/>
        </w:rPr>
        <w:t>SVG</w:t>
      </w:r>
      <w:r>
        <w:rPr>
          <w:rFonts w:hint="eastAsia" w:ascii="仿宋_GB2312" w:hAnsi="仿宋_GB2312" w:eastAsia="仿宋_GB2312" w:cs="仿宋_GB2312"/>
          <w:b/>
          <w:bCs/>
          <w:sz w:val="30"/>
          <w:szCs w:val="30"/>
          <w:lang w:val="en-US" w:eastAsia="zh-Hans"/>
        </w:rPr>
        <w:t>图文</w:t>
      </w:r>
      <w:r>
        <w:rPr>
          <w:rFonts w:hint="eastAsia" w:ascii="仿宋_GB2312" w:hAnsi="仿宋_GB2312" w:eastAsia="仿宋_GB2312" w:cs="仿宋_GB2312"/>
          <w:b/>
          <w:bCs/>
          <w:sz w:val="30"/>
          <w:szCs w:val="30"/>
        </w:rPr>
        <w:t>不少于</w:t>
      </w:r>
      <w:r>
        <w:rPr>
          <w:rFonts w:hint="default" w:ascii="仿宋_GB2312" w:hAnsi="仿宋_GB2312" w:eastAsia="仿宋_GB2312" w:cs="仿宋_GB2312"/>
          <w:b/>
          <w:bCs/>
          <w:sz w:val="30"/>
          <w:szCs w:val="30"/>
        </w:rPr>
        <w:t>2</w:t>
      </w:r>
      <w:r>
        <w:rPr>
          <w:rFonts w:hint="eastAsia" w:ascii="仿宋_GB2312" w:hAnsi="仿宋_GB2312" w:eastAsia="仿宋_GB2312" w:cs="仿宋_GB2312"/>
          <w:b/>
          <w:bCs/>
          <w:sz w:val="30"/>
          <w:szCs w:val="30"/>
        </w:rPr>
        <w:t>个</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（二）宣传推广规划</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建立“方志广东”新媒体发布生态圈。以“方志广东”微信公众号为基础，借助互联网平台流量优势，布局新媒体生态圈。推广好学习强国广东学习平台【方志广东】专栏，通过南方+、腾讯新闻、今日头条等媒体平台，充分利用互联网平台流量优势，以微信公众号为内容生产基地，根据各平台新闻推荐特征以及用户阅读习惯，分发至各平台，打造“方志广东”新媒体矩阵式发布渠道。</w:t>
      </w:r>
    </w:p>
    <w:p>
      <w:pPr>
        <w:adjustRightInd w:val="0"/>
        <w:snapToGrid w:val="0"/>
        <w:spacing w:line="276" w:lineRule="auto"/>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（三）团队要求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由1名核心</w:t>
      </w:r>
      <w:r>
        <w:rPr>
          <w:rFonts w:hint="eastAsia" w:ascii="仿宋_GB2312" w:hAnsi="仿宋_GB2312" w:eastAsia="仿宋_GB2312" w:cs="仿宋_GB2312"/>
          <w:sz w:val="30"/>
          <w:szCs w:val="30"/>
          <w:lang w:val="en-US" w:eastAsia="zh-Hans"/>
        </w:rPr>
        <w:t>负责人</w:t>
      </w:r>
      <w:r>
        <w:rPr>
          <w:rFonts w:hint="eastAsia" w:ascii="仿宋_GB2312" w:hAnsi="仿宋_GB2312" w:eastAsia="仿宋_GB2312" w:cs="仿宋_GB2312"/>
          <w:sz w:val="30"/>
          <w:szCs w:val="30"/>
        </w:rPr>
        <w:t>、1名经验丰富的驻点专职新媒体编辑及后方技术支持人员组成的成熟政务支持团队。重点宣传内容经团队内审后，聘请1位文史专家审核，费用由服务提供方负责，预算费用约为项目总费用的</w:t>
      </w:r>
      <w:r>
        <w:rPr>
          <w:rFonts w:hint="default" w:ascii="仿宋_GB2312" w:hAnsi="仿宋_GB2312" w:eastAsia="仿宋_GB2312" w:cs="仿宋_GB2312"/>
          <w:sz w:val="30"/>
          <w:szCs w:val="30"/>
        </w:rPr>
        <w:t>9</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提供以微信公众号为主的新媒体平台技术支持，包括但不限于微信公众号UI类设计、首页banner图设计、公众号内icon设计、文章内顶部和底部贴片设计等；线上活动等技术支持保障。</w:t>
      </w:r>
    </w:p>
    <w:p>
      <w:pPr>
        <w:adjustRightInd w:val="0"/>
        <w:snapToGrid w:val="0"/>
        <w:spacing w:line="300" w:lineRule="exact"/>
        <w:ind w:firstLine="480" w:firstLineChars="200"/>
        <w:jc w:val="center"/>
        <w:rPr>
          <w:rFonts w:hint="eastAsia" w:ascii="微软雅黑" w:hAnsi="微软雅黑" w:eastAsia="微软雅黑" w:cs="仿宋_GB2312"/>
          <w:sz w:val="24"/>
        </w:rPr>
      </w:pPr>
    </w:p>
    <w:p>
      <w:pPr>
        <w:adjustRightInd w:val="0"/>
        <w:snapToGrid w:val="0"/>
        <w:spacing w:line="300" w:lineRule="exact"/>
        <w:ind w:firstLine="3640" w:firstLineChars="1300"/>
        <w:rPr>
          <w:rFonts w:hint="eastAsia" w:ascii="微软雅黑" w:hAnsi="微软雅黑" w:eastAsia="微软雅黑" w:cs="方正小标宋简体"/>
          <w:sz w:val="28"/>
          <w:szCs w:val="28"/>
        </w:rPr>
      </w:pPr>
      <w:r>
        <w:rPr>
          <w:rFonts w:hint="eastAsia" w:ascii="微软雅黑" w:hAnsi="微软雅黑" w:eastAsia="微软雅黑" w:cs="方正小标宋简体"/>
          <w:sz w:val="28"/>
          <w:szCs w:val="28"/>
        </w:rPr>
        <w:t>项目主要内容</w:t>
      </w:r>
    </w:p>
    <w:p>
      <w:pPr>
        <w:adjustRightInd w:val="0"/>
        <w:snapToGrid w:val="0"/>
        <w:spacing w:line="300" w:lineRule="exact"/>
        <w:ind w:firstLine="3640" w:firstLineChars="1300"/>
        <w:rPr>
          <w:rFonts w:hint="eastAsia" w:ascii="微软雅黑" w:hAnsi="微软雅黑" w:eastAsia="微软雅黑" w:cs="方正小标宋简体"/>
          <w:sz w:val="28"/>
          <w:szCs w:val="28"/>
        </w:rPr>
      </w:pPr>
    </w:p>
    <w:tbl>
      <w:tblPr>
        <w:tblStyle w:val="6"/>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5857"/>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4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ascii="微软雅黑" w:hAnsi="微软雅黑" w:eastAsia="微软雅黑" w:cs="仿宋"/>
                <w:b/>
                <w:sz w:val="18"/>
                <w:szCs w:val="18"/>
              </w:rPr>
            </w:pPr>
            <w:r>
              <w:rPr>
                <w:rFonts w:hint="eastAsia" w:ascii="微软雅黑" w:hAnsi="微软雅黑" w:eastAsia="微软雅黑" w:cs="仿宋"/>
                <w:b/>
                <w:sz w:val="18"/>
                <w:szCs w:val="18"/>
              </w:rPr>
              <w:t>项目</w:t>
            </w:r>
          </w:p>
        </w:tc>
        <w:tc>
          <w:tcPr>
            <w:tcW w:w="585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ascii="微软雅黑" w:hAnsi="微软雅黑" w:eastAsia="微软雅黑" w:cs="仿宋"/>
                <w:b/>
                <w:sz w:val="18"/>
                <w:szCs w:val="18"/>
              </w:rPr>
            </w:pPr>
            <w:r>
              <w:rPr>
                <w:rFonts w:hint="eastAsia" w:ascii="微软雅黑" w:hAnsi="微软雅黑" w:eastAsia="微软雅黑" w:cs="仿宋"/>
                <w:b/>
                <w:sz w:val="18"/>
                <w:szCs w:val="18"/>
              </w:rPr>
              <w:t>服务内容</w:t>
            </w:r>
          </w:p>
        </w:tc>
        <w:tc>
          <w:tcPr>
            <w:tcW w:w="1219"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300" w:lineRule="exact"/>
              <w:jc w:val="center"/>
              <w:rPr>
                <w:rFonts w:hint="eastAsia" w:ascii="微软雅黑" w:hAnsi="微软雅黑" w:eastAsia="微软雅黑" w:cs="仿宋"/>
                <w:b/>
                <w:sz w:val="18"/>
                <w:szCs w:val="18"/>
              </w:rPr>
            </w:pPr>
            <w:r>
              <w:rPr>
                <w:rFonts w:hint="eastAsia" w:ascii="微软雅黑" w:hAnsi="微软雅黑" w:eastAsia="微软雅黑" w:cs="仿宋"/>
                <w:b/>
                <w:sz w:val="18"/>
                <w:szCs w:val="18"/>
              </w:rPr>
              <w:t>次数/时间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jc w:val="center"/>
        </w:trPr>
        <w:tc>
          <w:tcPr>
            <w:tcW w:w="124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ascii="微软雅黑" w:hAnsi="微软雅黑" w:eastAsia="微软雅黑" w:cs="仿宋"/>
                <w:sz w:val="18"/>
                <w:szCs w:val="18"/>
              </w:rPr>
            </w:pPr>
            <w:r>
              <w:rPr>
                <w:rFonts w:hint="eastAsia" w:ascii="微软雅黑" w:hAnsi="微软雅黑" w:eastAsia="微软雅黑" w:cs="仿宋"/>
                <w:sz w:val="18"/>
                <w:szCs w:val="18"/>
              </w:rPr>
              <w:t>方志广东系列专题全年常规性宣传</w:t>
            </w:r>
          </w:p>
        </w:tc>
        <w:tc>
          <w:tcPr>
            <w:tcW w:w="58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微软雅黑" w:hAnsi="微软雅黑" w:eastAsia="微软雅黑" w:cs="仿宋"/>
                <w:sz w:val="18"/>
                <w:szCs w:val="18"/>
              </w:rPr>
            </w:pPr>
            <w:r>
              <w:rPr>
                <w:rFonts w:hint="eastAsia" w:ascii="微软雅黑" w:hAnsi="微软雅黑" w:eastAsia="微软雅黑" w:cs="仿宋"/>
                <w:sz w:val="18"/>
                <w:szCs w:val="18"/>
              </w:rPr>
              <w:t>投入1名核心</w:t>
            </w:r>
            <w:r>
              <w:rPr>
                <w:rFonts w:hint="eastAsia" w:ascii="微软雅黑" w:hAnsi="微软雅黑" w:eastAsia="微软雅黑" w:cs="仿宋"/>
                <w:sz w:val="18"/>
                <w:szCs w:val="18"/>
                <w:lang w:val="en-US" w:eastAsia="zh-Hans"/>
              </w:rPr>
              <w:t>负责人</w:t>
            </w:r>
            <w:r>
              <w:rPr>
                <w:rFonts w:hint="eastAsia" w:ascii="微软雅黑" w:hAnsi="微软雅黑" w:eastAsia="微软雅黑" w:cs="仿宋"/>
                <w:sz w:val="18"/>
                <w:szCs w:val="18"/>
              </w:rPr>
              <w:t>、1名经验丰富的驻点专职新媒体编辑、1个成熟政务支持团队，主要负责：</w:t>
            </w:r>
          </w:p>
          <w:p>
            <w:pPr>
              <w:adjustRightInd w:val="0"/>
              <w:snapToGrid w:val="0"/>
              <w:spacing w:line="300" w:lineRule="exact"/>
              <w:jc w:val="left"/>
              <w:rPr>
                <w:rFonts w:hint="eastAsia" w:ascii="微软雅黑" w:hAnsi="微软雅黑" w:eastAsia="微软雅黑" w:cs="仿宋"/>
                <w:sz w:val="18"/>
                <w:szCs w:val="18"/>
              </w:rPr>
            </w:pPr>
            <w:r>
              <w:rPr>
                <w:rFonts w:hint="eastAsia" w:ascii="微软雅黑" w:hAnsi="微软雅黑" w:eastAsia="微软雅黑" w:cs="仿宋"/>
                <w:sz w:val="18"/>
                <w:szCs w:val="18"/>
              </w:rPr>
              <w:t>1.政务新媒体规范建设；</w:t>
            </w:r>
          </w:p>
          <w:p>
            <w:pPr>
              <w:adjustRightInd w:val="0"/>
              <w:snapToGrid w:val="0"/>
              <w:spacing w:line="300" w:lineRule="exact"/>
              <w:jc w:val="left"/>
              <w:rPr>
                <w:rFonts w:hint="eastAsia" w:ascii="微软雅黑" w:hAnsi="微软雅黑" w:eastAsia="微软雅黑" w:cs="仿宋"/>
                <w:sz w:val="18"/>
                <w:szCs w:val="18"/>
              </w:rPr>
            </w:pPr>
            <w:r>
              <w:rPr>
                <w:rFonts w:hint="eastAsia" w:ascii="微软雅黑" w:hAnsi="微软雅黑" w:eastAsia="微软雅黑" w:cs="仿宋"/>
                <w:sz w:val="18"/>
                <w:szCs w:val="18"/>
              </w:rPr>
              <w:t>2.“方志广东”微信内容编辑美化以及推送，新增</w:t>
            </w:r>
            <w:r>
              <w:rPr>
                <w:rFonts w:hint="eastAsia" w:ascii="微软雅黑" w:hAnsi="微软雅黑" w:eastAsia="微软雅黑" w:cs="仿宋"/>
                <w:sz w:val="18"/>
                <w:szCs w:val="18"/>
                <w:lang w:val="en-US" w:eastAsia="zh-CN"/>
              </w:rPr>
              <w:t>原创</w:t>
            </w:r>
            <w:r>
              <w:rPr>
                <w:rFonts w:hint="eastAsia" w:ascii="微软雅黑" w:hAnsi="微软雅黑" w:eastAsia="微软雅黑" w:cs="仿宋"/>
                <w:sz w:val="18"/>
                <w:szCs w:val="18"/>
              </w:rPr>
              <w:t>专题栏目</w:t>
            </w:r>
            <w:r>
              <w:rPr>
                <w:rFonts w:hint="eastAsia" w:ascii="微软雅黑" w:hAnsi="微软雅黑" w:eastAsia="微软雅黑" w:cs="仿宋"/>
                <w:sz w:val="18"/>
                <w:szCs w:val="18"/>
                <w:lang w:val="en-US" w:eastAsia="zh-CN"/>
              </w:rPr>
              <w:t>3</w:t>
            </w:r>
            <w:r>
              <w:rPr>
                <w:rFonts w:hint="eastAsia" w:ascii="微软雅黑" w:hAnsi="微软雅黑" w:eastAsia="微软雅黑" w:cs="仿宋"/>
                <w:sz w:val="18"/>
                <w:szCs w:val="18"/>
              </w:rPr>
              <w:t>个；原创文章不少于</w:t>
            </w:r>
            <w:r>
              <w:rPr>
                <w:rFonts w:hint="eastAsia" w:ascii="微软雅黑" w:hAnsi="微软雅黑" w:eastAsia="微软雅黑" w:cs="仿宋"/>
                <w:sz w:val="18"/>
                <w:szCs w:val="18"/>
                <w:lang w:val="en-US" w:eastAsia="zh-CN"/>
              </w:rPr>
              <w:t>4</w:t>
            </w:r>
            <w:r>
              <w:rPr>
                <w:rFonts w:hint="eastAsia" w:ascii="微软雅黑" w:hAnsi="微软雅黑" w:eastAsia="微软雅黑" w:cs="仿宋"/>
                <w:sz w:val="18"/>
                <w:szCs w:val="18"/>
              </w:rPr>
              <w:t>0篇；</w:t>
            </w:r>
          </w:p>
          <w:p>
            <w:pPr>
              <w:adjustRightInd w:val="0"/>
              <w:snapToGrid w:val="0"/>
              <w:spacing w:line="300" w:lineRule="exact"/>
              <w:jc w:val="left"/>
              <w:rPr>
                <w:rFonts w:hint="eastAsia" w:ascii="微软雅黑" w:hAnsi="微软雅黑" w:eastAsia="微软雅黑" w:cs="仿宋"/>
                <w:sz w:val="18"/>
                <w:szCs w:val="18"/>
              </w:rPr>
            </w:pPr>
            <w:r>
              <w:rPr>
                <w:rFonts w:hint="eastAsia" w:ascii="微软雅黑" w:hAnsi="微软雅黑" w:eastAsia="微软雅黑" w:cs="仿宋"/>
                <w:sz w:val="18"/>
                <w:szCs w:val="18"/>
              </w:rPr>
              <w:t>3.包含活动预热、主题宣传、活动总结等微信软文，日常评论回复互动等;</w:t>
            </w:r>
          </w:p>
          <w:p>
            <w:pPr>
              <w:adjustRightInd w:val="0"/>
              <w:snapToGrid w:val="0"/>
              <w:spacing w:line="300" w:lineRule="exact"/>
              <w:jc w:val="left"/>
              <w:rPr>
                <w:rFonts w:hint="eastAsia" w:ascii="微软雅黑" w:hAnsi="微软雅黑" w:eastAsia="微软雅黑" w:cs="仿宋"/>
                <w:sz w:val="18"/>
                <w:szCs w:val="18"/>
              </w:rPr>
            </w:pPr>
            <w:r>
              <w:rPr>
                <w:rFonts w:hint="eastAsia" w:ascii="微软雅黑" w:hAnsi="微软雅黑" w:eastAsia="微软雅黑" w:cs="仿宋"/>
                <w:sz w:val="18"/>
                <w:szCs w:val="18"/>
              </w:rPr>
              <w:t>4.新媒体生态圈内容分发，将内容分发到企鹅号、头条号、南方号等新媒体渠道;</w:t>
            </w:r>
          </w:p>
          <w:p>
            <w:pPr>
              <w:adjustRightInd w:val="0"/>
              <w:snapToGrid w:val="0"/>
              <w:spacing w:line="300" w:lineRule="exact"/>
              <w:jc w:val="left"/>
              <w:rPr>
                <w:rFonts w:hint="eastAsia" w:ascii="微软雅黑" w:hAnsi="微软雅黑" w:eastAsia="微软雅黑" w:cs="仿宋"/>
                <w:sz w:val="18"/>
                <w:szCs w:val="18"/>
              </w:rPr>
            </w:pPr>
            <w:r>
              <w:rPr>
                <w:rFonts w:hint="eastAsia" w:ascii="微软雅黑" w:hAnsi="微软雅黑" w:eastAsia="微软雅黑" w:cs="仿宋"/>
                <w:sz w:val="18"/>
                <w:szCs w:val="18"/>
              </w:rPr>
              <w:t>5.学习强国广东学习</w:t>
            </w:r>
            <w:r>
              <w:rPr>
                <w:rFonts w:hint="eastAsia" w:ascii="微软雅黑" w:hAnsi="微软雅黑" w:eastAsia="微软雅黑" w:cs="仿宋"/>
                <w:spacing w:val="0"/>
                <w:sz w:val="18"/>
                <w:szCs w:val="18"/>
              </w:rPr>
              <w:t>平台【方志广东】专栏</w:t>
            </w:r>
            <w:r>
              <w:rPr>
                <w:rFonts w:hint="eastAsia" w:ascii="微软雅黑" w:hAnsi="微软雅黑" w:eastAsia="微软雅黑" w:cs="仿宋"/>
                <w:sz w:val="18"/>
                <w:szCs w:val="18"/>
              </w:rPr>
              <w:t>日常发布;</w:t>
            </w:r>
          </w:p>
          <w:p>
            <w:pPr>
              <w:adjustRightInd w:val="0"/>
              <w:snapToGrid w:val="0"/>
              <w:spacing w:line="300" w:lineRule="exact"/>
              <w:jc w:val="left"/>
              <w:rPr>
                <w:rFonts w:hint="eastAsia" w:ascii="微软雅黑" w:hAnsi="微软雅黑" w:eastAsia="微软雅黑" w:cs="仿宋"/>
                <w:sz w:val="18"/>
                <w:szCs w:val="18"/>
              </w:rPr>
            </w:pPr>
            <w:r>
              <w:rPr>
                <w:rFonts w:hint="eastAsia" w:ascii="微软雅黑" w:hAnsi="微软雅黑" w:eastAsia="微软雅黑" w:cs="仿宋"/>
                <w:sz w:val="18"/>
                <w:szCs w:val="18"/>
              </w:rPr>
              <w:t>6.其他新媒体平台打造;</w:t>
            </w:r>
          </w:p>
          <w:p>
            <w:pPr>
              <w:adjustRightInd w:val="0"/>
              <w:snapToGrid w:val="0"/>
              <w:spacing w:line="300" w:lineRule="exact"/>
              <w:jc w:val="left"/>
              <w:rPr>
                <w:rFonts w:hint="eastAsia" w:ascii="微软雅黑" w:hAnsi="微软雅黑" w:eastAsia="微软雅黑" w:cs="仿宋"/>
                <w:sz w:val="18"/>
                <w:szCs w:val="18"/>
              </w:rPr>
            </w:pPr>
            <w:r>
              <w:rPr>
                <w:rFonts w:hint="eastAsia" w:ascii="微软雅黑" w:hAnsi="微软雅黑" w:eastAsia="微软雅黑" w:cs="仿宋"/>
                <w:sz w:val="18"/>
                <w:szCs w:val="18"/>
              </w:rPr>
              <w:t>7.配合业主活动互动。如遇突发事件，团队需无条件随时协助配合。</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left"/>
              <w:rPr>
                <w:rFonts w:hint="eastAsia" w:ascii="微软雅黑" w:hAnsi="微软雅黑" w:eastAsia="微软雅黑" w:cs="仿宋"/>
                <w:bCs/>
                <w:sz w:val="18"/>
                <w:szCs w:val="18"/>
              </w:rPr>
            </w:pPr>
            <w:r>
              <w:rPr>
                <w:rFonts w:hint="eastAsia" w:ascii="微软雅黑" w:hAnsi="微软雅黑" w:eastAsia="微软雅黑" w:cs="仿宋"/>
                <w:bCs/>
                <w:sz w:val="18"/>
                <w:szCs w:val="18"/>
                <w:lang w:val="zh-CN"/>
              </w:rPr>
              <w:t>每</w:t>
            </w:r>
            <w:r>
              <w:rPr>
                <w:rFonts w:hint="eastAsia" w:ascii="微软雅黑" w:hAnsi="微软雅黑" w:eastAsia="微软雅黑" w:cs="仿宋"/>
                <w:bCs/>
                <w:sz w:val="18"/>
                <w:szCs w:val="18"/>
              </w:rPr>
              <w:t>周</w:t>
            </w:r>
            <w:r>
              <w:rPr>
                <w:rFonts w:hint="eastAsia" w:ascii="微软雅黑" w:hAnsi="微软雅黑" w:eastAsia="微软雅黑" w:cs="仿宋"/>
                <w:bCs/>
                <w:sz w:val="18"/>
                <w:szCs w:val="18"/>
                <w:lang w:val="zh-CN"/>
              </w:rPr>
              <w:t>推送不少于</w:t>
            </w:r>
            <w:r>
              <w:rPr>
                <w:rFonts w:hint="eastAsia" w:ascii="微软雅黑" w:hAnsi="微软雅黑" w:eastAsia="微软雅黑" w:cs="仿宋"/>
                <w:bCs/>
                <w:sz w:val="18"/>
                <w:szCs w:val="18"/>
              </w:rPr>
              <w:t>4次，根据实际情况调整。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24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ascii="微软雅黑" w:hAnsi="微软雅黑" w:eastAsia="微软雅黑" w:cs="仿宋"/>
                <w:sz w:val="18"/>
                <w:szCs w:val="18"/>
              </w:rPr>
            </w:pPr>
            <w:r>
              <w:rPr>
                <w:rFonts w:hint="eastAsia" w:ascii="微软雅黑" w:hAnsi="微软雅黑" w:eastAsia="微软雅黑" w:cs="仿宋"/>
                <w:sz w:val="18"/>
                <w:szCs w:val="18"/>
              </w:rPr>
              <w:t>专题策划</w:t>
            </w:r>
          </w:p>
        </w:tc>
        <w:tc>
          <w:tcPr>
            <w:tcW w:w="58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360" w:firstLineChars="200"/>
              <w:rPr>
                <w:rFonts w:hint="eastAsia" w:ascii="微软雅黑" w:hAnsi="微软雅黑" w:eastAsia="微软雅黑" w:cs="仿宋"/>
                <w:sz w:val="18"/>
                <w:szCs w:val="18"/>
              </w:rPr>
            </w:pPr>
            <w:r>
              <w:rPr>
                <w:rFonts w:hint="eastAsia" w:ascii="微软雅黑" w:hAnsi="微软雅黑" w:eastAsia="微软雅黑" w:cs="仿宋"/>
                <w:sz w:val="18"/>
                <w:szCs w:val="18"/>
              </w:rPr>
              <w:t>根据省地方志重点活动内容制作</w:t>
            </w:r>
            <w:r>
              <w:rPr>
                <w:rFonts w:hint="default" w:ascii="微软雅黑" w:hAnsi="微软雅黑" w:eastAsia="微软雅黑" w:cs="仿宋"/>
                <w:sz w:val="18"/>
                <w:szCs w:val="18"/>
              </w:rPr>
              <w:t>5</w:t>
            </w:r>
            <w:r>
              <w:rPr>
                <w:rFonts w:hint="eastAsia" w:ascii="微软雅黑" w:hAnsi="微软雅黑" w:eastAsia="微软雅黑" w:cs="仿宋"/>
                <w:sz w:val="18"/>
                <w:szCs w:val="18"/>
              </w:rPr>
              <w:t>期</w:t>
            </w:r>
            <w:r>
              <w:rPr>
                <w:rFonts w:hint="eastAsia" w:ascii="微软雅黑" w:hAnsi="微软雅黑" w:eastAsia="微软雅黑" w:cs="仿宋"/>
                <w:sz w:val="18"/>
                <w:szCs w:val="18"/>
                <w:lang w:val="en-US" w:eastAsia="zh-CN"/>
              </w:rPr>
              <w:t>创新</w:t>
            </w:r>
            <w:r>
              <w:rPr>
                <w:rFonts w:hint="eastAsia" w:ascii="微软雅黑" w:hAnsi="微软雅黑" w:eastAsia="微软雅黑" w:cs="仿宋"/>
                <w:sz w:val="18"/>
                <w:szCs w:val="18"/>
              </w:rPr>
              <w:t>策划（含1个互动</w:t>
            </w:r>
            <w:r>
              <w:rPr>
                <w:rFonts w:hint="eastAsia" w:ascii="微软雅黑" w:hAnsi="微软雅黑" w:eastAsia="微软雅黑" w:cs="仿宋"/>
                <w:sz w:val="18"/>
                <w:szCs w:val="18"/>
                <w:lang w:eastAsia="zh-Hans"/>
              </w:rPr>
              <w:t>问答类H5</w:t>
            </w:r>
            <w:r>
              <w:rPr>
                <w:rFonts w:hint="eastAsia" w:ascii="微软雅黑" w:hAnsi="微软雅黑" w:eastAsia="微软雅黑" w:cs="仿宋"/>
                <w:sz w:val="18"/>
                <w:szCs w:val="18"/>
              </w:rPr>
              <w:t>、2期vlog</w:t>
            </w:r>
            <w:r>
              <w:rPr>
                <w:rFonts w:hint="eastAsia" w:ascii="微软雅黑" w:hAnsi="微软雅黑" w:eastAsia="微软雅黑" w:cs="仿宋"/>
                <w:sz w:val="18"/>
                <w:szCs w:val="18"/>
                <w:lang w:eastAsia="zh-CN"/>
              </w:rPr>
              <w:t>、</w:t>
            </w:r>
            <w:r>
              <w:rPr>
                <w:rFonts w:hint="eastAsia" w:ascii="微软雅黑" w:hAnsi="微软雅黑" w:eastAsia="微软雅黑" w:cs="仿宋"/>
                <w:sz w:val="18"/>
                <w:szCs w:val="18"/>
              </w:rPr>
              <w:t>重点节点宣传海报或</w:t>
            </w:r>
            <w:r>
              <w:rPr>
                <w:rFonts w:hint="default" w:ascii="微软雅黑" w:hAnsi="微软雅黑" w:eastAsia="微软雅黑" w:cs="仿宋"/>
                <w:sz w:val="18"/>
                <w:szCs w:val="18"/>
                <w:lang w:eastAsia="zh-Hans"/>
              </w:rPr>
              <w:t>SVG</w:t>
            </w:r>
            <w:r>
              <w:rPr>
                <w:rFonts w:hint="eastAsia" w:ascii="微软雅黑" w:hAnsi="微软雅黑" w:eastAsia="微软雅黑" w:cs="仿宋"/>
                <w:sz w:val="18"/>
                <w:szCs w:val="18"/>
                <w:lang w:val="en-US" w:eastAsia="zh-Hans"/>
              </w:rPr>
              <w:t>图文</w:t>
            </w:r>
            <w:r>
              <w:rPr>
                <w:rFonts w:hint="eastAsia" w:ascii="微软雅黑" w:hAnsi="微软雅黑" w:eastAsia="微软雅黑" w:cs="仿宋"/>
                <w:sz w:val="18"/>
                <w:szCs w:val="18"/>
              </w:rPr>
              <w:t>不少于</w:t>
            </w:r>
            <w:r>
              <w:rPr>
                <w:rFonts w:hint="default" w:ascii="微软雅黑" w:hAnsi="微软雅黑" w:eastAsia="微软雅黑" w:cs="仿宋"/>
                <w:sz w:val="18"/>
                <w:szCs w:val="18"/>
              </w:rPr>
              <w:t>2</w:t>
            </w:r>
            <w:r>
              <w:rPr>
                <w:rFonts w:hint="eastAsia" w:ascii="微软雅黑" w:hAnsi="微软雅黑" w:eastAsia="微软雅黑" w:cs="仿宋"/>
                <w:sz w:val="18"/>
                <w:szCs w:val="18"/>
              </w:rPr>
              <w:t>个。</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ascii="微软雅黑" w:hAnsi="微软雅黑" w:eastAsia="微软雅黑" w:cs="仿宋"/>
                <w:sz w:val="18"/>
                <w:szCs w:val="18"/>
              </w:rPr>
            </w:pPr>
            <w:r>
              <w:rPr>
                <w:rFonts w:hint="eastAsia" w:ascii="微软雅黑" w:hAnsi="微软雅黑" w:eastAsia="微软雅黑" w:cs="仿宋"/>
                <w:sz w:val="18"/>
                <w:szCs w:val="18"/>
                <w:lang w:val="en-US" w:eastAsia="zh-CN"/>
              </w:rPr>
              <w:t>5</w:t>
            </w:r>
            <w:r>
              <w:rPr>
                <w:rFonts w:hint="eastAsia" w:ascii="微软雅黑" w:hAnsi="微软雅黑" w:eastAsia="微软雅黑" w:cs="仿宋"/>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24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ascii="微软雅黑" w:hAnsi="微软雅黑" w:eastAsia="微软雅黑"/>
                <w:sz w:val="18"/>
                <w:szCs w:val="18"/>
              </w:rPr>
            </w:pPr>
            <w:r>
              <w:rPr>
                <w:rFonts w:hint="eastAsia" w:ascii="微软雅黑" w:hAnsi="微软雅黑" w:eastAsia="微软雅黑"/>
                <w:sz w:val="18"/>
                <w:szCs w:val="18"/>
              </w:rPr>
              <w:t>技术支持</w:t>
            </w:r>
          </w:p>
        </w:tc>
        <w:tc>
          <w:tcPr>
            <w:tcW w:w="5857"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adjustRightInd w:val="0"/>
              <w:snapToGrid w:val="0"/>
              <w:spacing w:line="300" w:lineRule="exact"/>
              <w:rPr>
                <w:rFonts w:hint="eastAsia" w:ascii="微软雅黑" w:hAnsi="微软雅黑" w:eastAsia="微软雅黑" w:cs="仿宋"/>
                <w:sz w:val="18"/>
                <w:szCs w:val="18"/>
              </w:rPr>
            </w:pPr>
            <w:r>
              <w:rPr>
                <w:rFonts w:hint="eastAsia" w:ascii="微软雅黑" w:hAnsi="微软雅黑" w:eastAsia="微软雅黑" w:cs="仿宋"/>
                <w:sz w:val="18"/>
                <w:szCs w:val="18"/>
              </w:rPr>
              <w:t>开发设计微信菜单栏，包括但不限于微信公众号UI类设计、首页banner图设计、公众号内icon设计、文章内顶部和底部贴片设计等；</w:t>
            </w:r>
          </w:p>
          <w:p>
            <w:pPr>
              <w:numPr>
                <w:ilvl w:val="0"/>
                <w:numId w:val="1"/>
              </w:numPr>
              <w:adjustRightInd w:val="0"/>
              <w:snapToGrid w:val="0"/>
              <w:spacing w:line="300" w:lineRule="exact"/>
              <w:rPr>
                <w:rFonts w:hint="eastAsia" w:ascii="微软雅黑" w:hAnsi="微软雅黑" w:eastAsia="微软雅黑" w:cs="仿宋"/>
                <w:sz w:val="18"/>
                <w:szCs w:val="18"/>
              </w:rPr>
            </w:pPr>
            <w:r>
              <w:rPr>
                <w:rFonts w:hint="eastAsia" w:ascii="微软雅黑" w:hAnsi="微软雅黑" w:eastAsia="微软雅黑" w:cs="仿宋"/>
                <w:sz w:val="18"/>
                <w:szCs w:val="18"/>
              </w:rPr>
              <w:t>对开展的线上活动提供技术支持保障，以保障活动顺利开展。</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ascii="微软雅黑" w:hAnsi="微软雅黑" w:eastAsia="微软雅黑" w:cs="仿宋"/>
                <w:sz w:val="18"/>
                <w:szCs w:val="18"/>
              </w:rPr>
            </w:pPr>
            <w:r>
              <w:rPr>
                <w:rFonts w:hint="eastAsia" w:ascii="微软雅黑" w:hAnsi="微软雅黑" w:eastAsia="微软雅黑" w:cs="仿宋"/>
                <w:sz w:val="18"/>
                <w:szCs w:val="1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24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ascii="微软雅黑" w:hAnsi="微软雅黑" w:eastAsia="微软雅黑"/>
                <w:sz w:val="18"/>
                <w:szCs w:val="18"/>
              </w:rPr>
            </w:pPr>
            <w:r>
              <w:rPr>
                <w:rFonts w:hint="eastAsia" w:ascii="微软雅黑" w:hAnsi="微软雅黑" w:eastAsia="微软雅黑"/>
                <w:sz w:val="18"/>
                <w:szCs w:val="18"/>
              </w:rPr>
              <w:t>宣传推广</w:t>
            </w:r>
          </w:p>
        </w:tc>
        <w:tc>
          <w:tcPr>
            <w:tcW w:w="5857"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adjustRightInd w:val="0"/>
              <w:snapToGrid w:val="0"/>
              <w:spacing w:line="300" w:lineRule="exact"/>
              <w:rPr>
                <w:rFonts w:hint="eastAsia" w:ascii="微软雅黑" w:hAnsi="微软雅黑" w:eastAsia="微软雅黑" w:cs="仿宋"/>
                <w:sz w:val="18"/>
                <w:szCs w:val="18"/>
              </w:rPr>
            </w:pPr>
            <w:r>
              <w:rPr>
                <w:rFonts w:hint="eastAsia" w:ascii="微软雅黑" w:hAnsi="微软雅黑" w:eastAsia="微软雅黑" w:cs="仿宋"/>
                <w:sz w:val="18"/>
                <w:szCs w:val="18"/>
              </w:rPr>
              <w:t>根据重点策划内容投放微信朋友圈广告（20万曝光）。</w:t>
            </w:r>
          </w:p>
          <w:p>
            <w:pPr>
              <w:numPr>
                <w:ilvl w:val="0"/>
                <w:numId w:val="2"/>
              </w:numPr>
              <w:adjustRightInd w:val="0"/>
              <w:snapToGrid w:val="0"/>
              <w:spacing w:line="300" w:lineRule="exact"/>
              <w:rPr>
                <w:rFonts w:hint="eastAsia" w:ascii="微软雅黑" w:hAnsi="微软雅黑" w:eastAsia="微软雅黑" w:cs="仿宋"/>
                <w:sz w:val="18"/>
                <w:szCs w:val="18"/>
              </w:rPr>
            </w:pPr>
            <w:r>
              <w:rPr>
                <w:rFonts w:hint="eastAsia" w:ascii="微软雅黑" w:hAnsi="微软雅黑" w:eastAsia="微软雅黑" w:cs="仿宋"/>
                <w:sz w:val="18"/>
                <w:szCs w:val="18"/>
              </w:rPr>
              <w:t>根据省地方志提供的新闻素材稿件，推荐至主流新媒体</w:t>
            </w:r>
            <w:r>
              <w:rPr>
                <w:rFonts w:hint="eastAsia" w:ascii="微软雅黑" w:hAnsi="微软雅黑" w:eastAsia="微软雅黑" w:cs="仿宋"/>
                <w:sz w:val="18"/>
                <w:szCs w:val="18"/>
                <w:lang w:val="zh-CN"/>
              </w:rPr>
              <w:t>平台。</w:t>
            </w:r>
            <w:r>
              <w:rPr>
                <w:rFonts w:hint="eastAsia" w:ascii="微软雅黑" w:hAnsi="微软雅黑" w:eastAsia="微软雅黑" w:cs="仿宋"/>
                <w:sz w:val="18"/>
                <w:szCs w:val="18"/>
              </w:rPr>
              <w:t xml:space="preserve">         </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ascii="微软雅黑" w:hAnsi="微软雅黑" w:eastAsia="微软雅黑" w:cs="仿宋"/>
                <w:sz w:val="18"/>
                <w:szCs w:val="18"/>
              </w:rPr>
            </w:pPr>
            <w:r>
              <w:rPr>
                <w:rFonts w:hint="eastAsia" w:ascii="微软雅黑" w:hAnsi="微软雅黑" w:eastAsia="微软雅黑" w:cs="仿宋"/>
                <w:sz w:val="18"/>
                <w:szCs w:val="18"/>
              </w:rPr>
              <w:t>12个月</w:t>
            </w:r>
          </w:p>
        </w:tc>
      </w:tr>
    </w:tbl>
    <w:p/>
    <w:p>
      <w:pPr>
        <w:adjustRightInd w:val="0"/>
        <w:snapToGrid w:val="0"/>
        <w:spacing w:line="276" w:lineRule="auto"/>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三、项目评分</w:t>
      </w:r>
    </w:p>
    <w:p/>
    <w:p>
      <w:pPr>
        <w:adjustRightInd w:val="0"/>
        <w:snapToGrid w:val="0"/>
        <w:spacing w:line="276" w:lineRule="auto"/>
        <w:ind w:firstLine="321" w:firstLineChars="100"/>
        <w:rPr>
          <w:rFonts w:hint="eastAsia" w:ascii="楷体" w:hAnsi="楷体" w:eastAsia="楷体" w:cs="楷体"/>
          <w:b/>
          <w:bCs/>
          <w:sz w:val="32"/>
          <w:szCs w:val="32"/>
        </w:rPr>
      </w:pPr>
      <w:r>
        <w:rPr>
          <w:rFonts w:hint="eastAsia" w:ascii="楷体" w:hAnsi="楷体" w:eastAsia="楷体" w:cs="楷体"/>
          <w:b/>
          <w:bCs/>
          <w:sz w:val="32"/>
          <w:szCs w:val="32"/>
        </w:rPr>
        <w:t>（一）技术商务评分：</w:t>
      </w:r>
    </w:p>
    <w:p>
      <w:pPr>
        <w:adjustRightInd w:val="0"/>
        <w:snapToGrid w:val="0"/>
        <w:spacing w:line="276" w:lineRule="auto"/>
        <w:jc w:val="center"/>
        <w:rPr>
          <w:rFonts w:ascii="微软雅黑" w:hAnsi="微软雅黑" w:eastAsia="微软雅黑"/>
          <w:b/>
          <w:sz w:val="24"/>
        </w:rPr>
      </w:pPr>
      <w:r>
        <w:rPr>
          <w:rFonts w:hint="eastAsia" w:ascii="微软雅黑" w:hAnsi="微软雅黑" w:eastAsia="微软雅黑"/>
          <w:b/>
          <w:sz w:val="24"/>
        </w:rPr>
        <w:t>技术商务评分表</w:t>
      </w:r>
    </w:p>
    <w:tbl>
      <w:tblPr>
        <w:tblStyle w:val="6"/>
        <w:tblW w:w="9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93"/>
        <w:gridCol w:w="509"/>
        <w:gridCol w:w="6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5" w:type="dxa"/>
            <w:noWrap w:val="0"/>
            <w:vAlign w:val="center"/>
          </w:tcPr>
          <w:p>
            <w:pPr>
              <w:adjustRightInd w:val="0"/>
              <w:snapToGrid w:val="0"/>
              <w:spacing w:line="240" w:lineRule="exact"/>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序号</w:t>
            </w:r>
          </w:p>
        </w:tc>
        <w:tc>
          <w:tcPr>
            <w:tcW w:w="1793" w:type="dxa"/>
            <w:noWrap w:val="0"/>
            <w:vAlign w:val="center"/>
          </w:tcPr>
          <w:p>
            <w:pPr>
              <w:adjustRightInd w:val="0"/>
              <w:snapToGrid w:val="0"/>
              <w:spacing w:line="240" w:lineRule="exact"/>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评审分项</w:t>
            </w:r>
          </w:p>
        </w:tc>
        <w:tc>
          <w:tcPr>
            <w:tcW w:w="509" w:type="dxa"/>
            <w:noWrap w:val="0"/>
            <w:vAlign w:val="center"/>
          </w:tcPr>
          <w:p>
            <w:pPr>
              <w:adjustRightInd w:val="0"/>
              <w:snapToGrid w:val="0"/>
              <w:spacing w:line="240" w:lineRule="exact"/>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分值</w:t>
            </w:r>
          </w:p>
        </w:tc>
        <w:tc>
          <w:tcPr>
            <w:tcW w:w="6153" w:type="dxa"/>
            <w:noWrap w:val="0"/>
            <w:vAlign w:val="center"/>
          </w:tcPr>
          <w:p>
            <w:pPr>
              <w:adjustRightInd w:val="0"/>
              <w:snapToGrid w:val="0"/>
              <w:spacing w:line="240" w:lineRule="exact"/>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5" w:type="dxa"/>
            <w:noWrap w:val="0"/>
            <w:vAlign w:val="center"/>
          </w:tcPr>
          <w:p>
            <w:pPr>
              <w:adjustRightInd w:val="0"/>
              <w:snapToGrid w:val="0"/>
              <w:spacing w:line="240" w:lineRule="exact"/>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1</w:t>
            </w:r>
          </w:p>
        </w:tc>
        <w:tc>
          <w:tcPr>
            <w:tcW w:w="1793" w:type="dxa"/>
            <w:noWrap w:val="0"/>
            <w:vAlign w:val="center"/>
          </w:tcPr>
          <w:p>
            <w:pPr>
              <w:adjustRightInd w:val="0"/>
              <w:snapToGrid w:val="0"/>
              <w:spacing w:line="240" w:lineRule="exact"/>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项目实施方案（包括总体方案及各阶段实施细则，从方案的合理性、整体性、可行性等方面比较）</w:t>
            </w:r>
          </w:p>
        </w:tc>
        <w:tc>
          <w:tcPr>
            <w:tcW w:w="509" w:type="dxa"/>
            <w:noWrap w:val="0"/>
            <w:vAlign w:val="center"/>
          </w:tcPr>
          <w:p>
            <w:pPr>
              <w:adjustRightInd w:val="0"/>
              <w:snapToGrid w:val="0"/>
              <w:spacing w:line="240" w:lineRule="exact"/>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15</w:t>
            </w:r>
          </w:p>
        </w:tc>
        <w:tc>
          <w:tcPr>
            <w:tcW w:w="6153" w:type="dxa"/>
            <w:noWrap w:val="0"/>
            <w:vAlign w:val="center"/>
          </w:tcPr>
          <w:p>
            <w:pPr>
              <w:adjustRightInd w:val="0"/>
              <w:snapToGrid w:val="0"/>
              <w:spacing w:line="240" w:lineRule="exact"/>
              <w:rPr>
                <w:rFonts w:ascii="微软雅黑" w:hAnsi="微软雅黑" w:eastAsia="微软雅黑"/>
                <w:color w:val="000000"/>
                <w:sz w:val="15"/>
                <w:szCs w:val="15"/>
              </w:rPr>
            </w:pPr>
            <w:r>
              <w:rPr>
                <w:rFonts w:hint="eastAsia" w:ascii="微软雅黑" w:hAnsi="微软雅黑" w:eastAsia="微软雅黑"/>
                <w:color w:val="000000"/>
                <w:sz w:val="15"/>
                <w:szCs w:val="15"/>
              </w:rPr>
              <w:t>方案思路清晰，人员结构合理，工作内容切实可行，得15分；</w:t>
            </w:r>
          </w:p>
          <w:p>
            <w:pPr>
              <w:adjustRightInd w:val="0"/>
              <w:snapToGrid w:val="0"/>
              <w:spacing w:line="240" w:lineRule="exact"/>
              <w:rPr>
                <w:rFonts w:ascii="微软雅黑" w:hAnsi="微软雅黑" w:eastAsia="微软雅黑"/>
                <w:color w:val="000000"/>
                <w:sz w:val="15"/>
                <w:szCs w:val="15"/>
              </w:rPr>
            </w:pPr>
            <w:r>
              <w:rPr>
                <w:rFonts w:hint="eastAsia" w:ascii="微软雅黑" w:hAnsi="微软雅黑" w:eastAsia="微软雅黑"/>
                <w:color w:val="000000"/>
                <w:sz w:val="15"/>
                <w:szCs w:val="15"/>
              </w:rPr>
              <w:t>方案思路较清晰，人员结构较合理，工作内容可行性较好，得10分；</w:t>
            </w:r>
          </w:p>
          <w:p>
            <w:pPr>
              <w:adjustRightInd w:val="0"/>
              <w:snapToGrid w:val="0"/>
              <w:spacing w:line="240" w:lineRule="exact"/>
              <w:rPr>
                <w:rFonts w:ascii="微软雅黑" w:hAnsi="微软雅黑" w:eastAsia="微软雅黑"/>
                <w:color w:val="000000"/>
                <w:sz w:val="15"/>
                <w:szCs w:val="15"/>
              </w:rPr>
            </w:pPr>
            <w:r>
              <w:rPr>
                <w:rFonts w:hint="eastAsia" w:ascii="微软雅黑" w:hAnsi="微软雅黑" w:eastAsia="微软雅黑"/>
                <w:color w:val="000000"/>
                <w:sz w:val="15"/>
                <w:szCs w:val="15"/>
              </w:rPr>
              <w:t>方案思路不够清晰，人员结构较合理，工作内容可行性一般，得5分；</w:t>
            </w:r>
          </w:p>
          <w:p>
            <w:pPr>
              <w:adjustRightInd w:val="0"/>
              <w:snapToGrid w:val="0"/>
              <w:spacing w:line="240" w:lineRule="exact"/>
              <w:rPr>
                <w:rFonts w:ascii="微软雅黑" w:hAnsi="微软雅黑" w:eastAsia="微软雅黑"/>
                <w:color w:val="000000"/>
                <w:sz w:val="15"/>
                <w:szCs w:val="15"/>
              </w:rPr>
            </w:pPr>
            <w:r>
              <w:rPr>
                <w:rFonts w:hint="eastAsia" w:ascii="微软雅黑" w:hAnsi="微软雅黑" w:eastAsia="微软雅黑"/>
                <w:color w:val="000000"/>
                <w:sz w:val="15"/>
                <w:szCs w:val="15"/>
              </w:rPr>
              <w:t>方案思路混乱，人员结构不合理，工作内容可行性较差，得0分。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5" w:type="dxa"/>
            <w:noWrap w:val="0"/>
            <w:vAlign w:val="center"/>
          </w:tcPr>
          <w:p>
            <w:pPr>
              <w:adjustRightInd w:val="0"/>
              <w:snapToGrid w:val="0"/>
              <w:spacing w:line="240" w:lineRule="exact"/>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2</w:t>
            </w:r>
          </w:p>
        </w:tc>
        <w:tc>
          <w:tcPr>
            <w:tcW w:w="1793" w:type="dxa"/>
            <w:noWrap w:val="0"/>
            <w:vAlign w:val="center"/>
          </w:tcPr>
          <w:p>
            <w:pPr>
              <w:adjustRightInd w:val="0"/>
              <w:snapToGrid w:val="0"/>
              <w:spacing w:line="240" w:lineRule="exact"/>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推广方案</w:t>
            </w:r>
          </w:p>
        </w:tc>
        <w:tc>
          <w:tcPr>
            <w:tcW w:w="509" w:type="dxa"/>
            <w:noWrap w:val="0"/>
            <w:vAlign w:val="center"/>
          </w:tcPr>
          <w:p>
            <w:pPr>
              <w:adjustRightInd w:val="0"/>
              <w:snapToGrid w:val="0"/>
              <w:spacing w:line="240" w:lineRule="exact"/>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15</w:t>
            </w:r>
          </w:p>
        </w:tc>
        <w:tc>
          <w:tcPr>
            <w:tcW w:w="6153" w:type="dxa"/>
            <w:noWrap w:val="0"/>
            <w:vAlign w:val="center"/>
          </w:tcPr>
          <w:p>
            <w:pPr>
              <w:adjustRightInd w:val="0"/>
              <w:snapToGrid w:val="0"/>
              <w:spacing w:line="240" w:lineRule="exact"/>
              <w:rPr>
                <w:rFonts w:ascii="微软雅黑" w:hAnsi="微软雅黑" w:eastAsia="微软雅黑"/>
                <w:color w:val="000000"/>
                <w:sz w:val="15"/>
                <w:szCs w:val="15"/>
              </w:rPr>
            </w:pPr>
            <w:r>
              <w:rPr>
                <w:rFonts w:hint="eastAsia" w:ascii="微软雅黑" w:hAnsi="微软雅黑" w:eastAsia="微软雅黑"/>
                <w:color w:val="000000"/>
                <w:sz w:val="15"/>
                <w:szCs w:val="15"/>
              </w:rPr>
              <w:t>根据各投标人提供的推广方案，具有可行性、针对性、全面性、覆盖面广，推广策划团队力量充足；推广思路清晰、推广策略最优。能最大效果对项目成果进行传播展示得15分；</w:t>
            </w:r>
          </w:p>
          <w:p>
            <w:pPr>
              <w:adjustRightInd w:val="0"/>
              <w:snapToGrid w:val="0"/>
              <w:spacing w:line="240" w:lineRule="exact"/>
              <w:rPr>
                <w:rFonts w:ascii="微软雅黑" w:hAnsi="微软雅黑" w:eastAsia="微软雅黑"/>
                <w:color w:val="000000"/>
                <w:sz w:val="15"/>
                <w:szCs w:val="15"/>
              </w:rPr>
            </w:pPr>
            <w:r>
              <w:rPr>
                <w:rFonts w:hint="eastAsia" w:ascii="微软雅黑" w:hAnsi="微软雅黑" w:eastAsia="微软雅黑"/>
                <w:color w:val="000000"/>
                <w:sz w:val="15"/>
                <w:szCs w:val="15"/>
              </w:rPr>
              <w:t>根据各投标人提供的推广方案，基本满足项目要求，推广方案基本可行、针对性一般、覆盖面一般，推广策划团队力量基本充足；推广思路基本清晰、推广策略基本可行得 10分；</w:t>
            </w:r>
          </w:p>
          <w:p>
            <w:pPr>
              <w:adjustRightInd w:val="0"/>
              <w:snapToGrid w:val="0"/>
              <w:spacing w:line="240" w:lineRule="exact"/>
              <w:rPr>
                <w:rFonts w:ascii="微软雅黑" w:hAnsi="微软雅黑" w:eastAsia="微软雅黑"/>
                <w:color w:val="000000"/>
                <w:sz w:val="15"/>
                <w:szCs w:val="15"/>
              </w:rPr>
            </w:pPr>
            <w:r>
              <w:rPr>
                <w:rFonts w:hint="eastAsia" w:ascii="微软雅黑" w:hAnsi="微软雅黑" w:eastAsia="微软雅黑"/>
                <w:color w:val="000000"/>
                <w:sz w:val="15"/>
                <w:szCs w:val="15"/>
              </w:rPr>
              <w:t>根据各投标人提供的推广方案，推广方案差、无针对性、无覆盖面，推广策划团队力量差；推广思路差、推广策略差得 5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5" w:type="dxa"/>
            <w:noWrap w:val="0"/>
            <w:vAlign w:val="center"/>
          </w:tcPr>
          <w:p>
            <w:pPr>
              <w:adjustRightInd w:val="0"/>
              <w:snapToGrid w:val="0"/>
              <w:spacing w:line="240" w:lineRule="exact"/>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3</w:t>
            </w:r>
          </w:p>
        </w:tc>
        <w:tc>
          <w:tcPr>
            <w:tcW w:w="1793" w:type="dxa"/>
            <w:noWrap w:val="0"/>
            <w:vAlign w:val="center"/>
          </w:tcPr>
          <w:p>
            <w:pPr>
              <w:adjustRightInd w:val="0"/>
              <w:snapToGrid w:val="0"/>
              <w:spacing w:line="240" w:lineRule="exact"/>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服务承诺及技术保证</w:t>
            </w:r>
          </w:p>
        </w:tc>
        <w:tc>
          <w:tcPr>
            <w:tcW w:w="509" w:type="dxa"/>
            <w:noWrap w:val="0"/>
            <w:vAlign w:val="center"/>
          </w:tcPr>
          <w:p>
            <w:pPr>
              <w:adjustRightInd w:val="0"/>
              <w:snapToGrid w:val="0"/>
              <w:spacing w:line="240" w:lineRule="exact"/>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10</w:t>
            </w:r>
          </w:p>
        </w:tc>
        <w:tc>
          <w:tcPr>
            <w:tcW w:w="6153" w:type="dxa"/>
            <w:noWrap w:val="0"/>
            <w:vAlign w:val="center"/>
          </w:tcPr>
          <w:p>
            <w:pPr>
              <w:adjustRightInd w:val="0"/>
              <w:snapToGrid w:val="0"/>
              <w:spacing w:line="240" w:lineRule="exact"/>
              <w:rPr>
                <w:rFonts w:ascii="微软雅黑" w:hAnsi="微软雅黑" w:eastAsia="微软雅黑"/>
                <w:color w:val="000000"/>
                <w:sz w:val="15"/>
                <w:szCs w:val="15"/>
              </w:rPr>
            </w:pPr>
            <w:r>
              <w:rPr>
                <w:rFonts w:hint="eastAsia" w:ascii="微软雅黑" w:hAnsi="微软雅黑" w:eastAsia="微软雅黑"/>
                <w:color w:val="000000"/>
                <w:sz w:val="15"/>
                <w:szCs w:val="15"/>
              </w:rPr>
              <w:t>对投标人的服务承诺及技术保障措施，满足专人负责、及时跟踪服务、及时有效沟通等要求进行综合评审：</w:t>
            </w:r>
          </w:p>
          <w:p>
            <w:pPr>
              <w:adjustRightInd w:val="0"/>
              <w:snapToGrid w:val="0"/>
              <w:spacing w:line="240" w:lineRule="exact"/>
              <w:rPr>
                <w:rFonts w:ascii="微软雅黑" w:hAnsi="微软雅黑" w:eastAsia="微软雅黑"/>
                <w:color w:val="000000"/>
                <w:sz w:val="15"/>
                <w:szCs w:val="15"/>
              </w:rPr>
            </w:pPr>
            <w:r>
              <w:rPr>
                <w:rFonts w:hint="eastAsia" w:ascii="微软雅黑" w:hAnsi="微软雅黑" w:eastAsia="微软雅黑"/>
                <w:color w:val="000000"/>
                <w:sz w:val="15"/>
                <w:szCs w:val="15"/>
              </w:rPr>
              <w:t>（1）服务承诺及技术保证全面，宣传覆盖面广，可行性强，满足各项要求，10分；</w:t>
            </w:r>
          </w:p>
          <w:p>
            <w:pPr>
              <w:adjustRightInd w:val="0"/>
              <w:snapToGrid w:val="0"/>
              <w:spacing w:line="240" w:lineRule="exact"/>
              <w:rPr>
                <w:rFonts w:ascii="微软雅黑" w:hAnsi="微软雅黑" w:eastAsia="微软雅黑"/>
                <w:color w:val="000000"/>
                <w:sz w:val="15"/>
                <w:szCs w:val="15"/>
              </w:rPr>
            </w:pPr>
            <w:r>
              <w:rPr>
                <w:rFonts w:hint="eastAsia" w:ascii="微软雅黑" w:hAnsi="微软雅黑" w:eastAsia="微软雅黑"/>
                <w:color w:val="000000"/>
                <w:sz w:val="15"/>
                <w:szCs w:val="15"/>
              </w:rPr>
              <w:t>（2）服务承诺及技术保证较全面，宣传覆盖面较广，可行性较强，较满足各项要求，6分；</w:t>
            </w:r>
          </w:p>
          <w:p>
            <w:pPr>
              <w:adjustRightInd w:val="0"/>
              <w:snapToGrid w:val="0"/>
              <w:spacing w:line="240" w:lineRule="exact"/>
              <w:rPr>
                <w:rFonts w:ascii="微软雅黑" w:hAnsi="微软雅黑" w:eastAsia="微软雅黑"/>
                <w:color w:val="000000"/>
                <w:sz w:val="15"/>
                <w:szCs w:val="15"/>
              </w:rPr>
            </w:pPr>
            <w:r>
              <w:rPr>
                <w:rFonts w:hint="eastAsia" w:ascii="微软雅黑" w:hAnsi="微软雅黑" w:eastAsia="微软雅黑"/>
                <w:color w:val="000000"/>
                <w:sz w:val="15"/>
                <w:szCs w:val="15"/>
              </w:rPr>
              <w:t>（3）服务承诺及技术保证一般，宣传覆盖面一般，可行性一般，基本满足各项要求，3分；</w:t>
            </w:r>
          </w:p>
          <w:p>
            <w:pPr>
              <w:adjustRightInd w:val="0"/>
              <w:snapToGrid w:val="0"/>
              <w:spacing w:line="240" w:lineRule="exact"/>
              <w:rPr>
                <w:rFonts w:ascii="微软雅黑" w:hAnsi="微软雅黑" w:eastAsia="微软雅黑"/>
                <w:color w:val="000000"/>
                <w:sz w:val="15"/>
                <w:szCs w:val="15"/>
              </w:rPr>
            </w:pPr>
            <w:r>
              <w:rPr>
                <w:rFonts w:hint="eastAsia" w:ascii="微软雅黑" w:hAnsi="微软雅黑" w:eastAsia="微软雅黑"/>
                <w:color w:val="000000"/>
                <w:sz w:val="15"/>
                <w:szCs w:val="15"/>
              </w:rPr>
              <w:t>（4）未提出服务承诺及技术保证，0分。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735" w:type="dxa"/>
            <w:noWrap w:val="0"/>
            <w:vAlign w:val="center"/>
          </w:tcPr>
          <w:p>
            <w:pPr>
              <w:adjustRightInd w:val="0"/>
              <w:snapToGrid w:val="0"/>
              <w:spacing w:line="240" w:lineRule="exact"/>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4</w:t>
            </w:r>
          </w:p>
        </w:tc>
        <w:tc>
          <w:tcPr>
            <w:tcW w:w="1793" w:type="dxa"/>
            <w:noWrap w:val="0"/>
            <w:vAlign w:val="center"/>
          </w:tcPr>
          <w:p>
            <w:pPr>
              <w:adjustRightInd w:val="0"/>
              <w:snapToGrid w:val="0"/>
              <w:spacing w:line="240" w:lineRule="exact"/>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项目团队配备</w:t>
            </w:r>
          </w:p>
        </w:tc>
        <w:tc>
          <w:tcPr>
            <w:tcW w:w="509" w:type="dxa"/>
            <w:noWrap w:val="0"/>
            <w:vAlign w:val="center"/>
          </w:tcPr>
          <w:p>
            <w:pPr>
              <w:adjustRightInd w:val="0"/>
              <w:snapToGrid w:val="0"/>
              <w:spacing w:line="240" w:lineRule="exact"/>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10</w:t>
            </w:r>
          </w:p>
        </w:tc>
        <w:tc>
          <w:tcPr>
            <w:tcW w:w="6153" w:type="dxa"/>
            <w:noWrap w:val="0"/>
            <w:vAlign w:val="center"/>
          </w:tcPr>
          <w:p>
            <w:pPr>
              <w:adjustRightInd w:val="0"/>
              <w:snapToGrid w:val="0"/>
              <w:spacing w:line="240" w:lineRule="exact"/>
              <w:rPr>
                <w:rFonts w:ascii="微软雅黑" w:hAnsi="微软雅黑" w:eastAsia="微软雅黑"/>
                <w:color w:val="000000"/>
                <w:sz w:val="15"/>
                <w:szCs w:val="15"/>
              </w:rPr>
            </w:pPr>
            <w:r>
              <w:rPr>
                <w:rFonts w:hint="eastAsia" w:ascii="微软雅黑" w:hAnsi="微软雅黑" w:eastAsia="微软雅黑"/>
                <w:color w:val="000000"/>
                <w:sz w:val="15"/>
                <w:szCs w:val="15"/>
              </w:rPr>
              <w:t>根据投标人对本项目投入的技术人员职称、经验等进行综合评审，团队建设完备，有较强的专业技术力量合作支持：</w:t>
            </w:r>
          </w:p>
          <w:p>
            <w:pPr>
              <w:adjustRightInd w:val="0"/>
              <w:snapToGrid w:val="0"/>
              <w:spacing w:line="240" w:lineRule="exact"/>
              <w:rPr>
                <w:rFonts w:ascii="微软雅黑" w:hAnsi="微软雅黑" w:eastAsia="微软雅黑"/>
                <w:color w:val="000000"/>
                <w:sz w:val="15"/>
                <w:szCs w:val="15"/>
              </w:rPr>
            </w:pPr>
            <w:r>
              <w:rPr>
                <w:rFonts w:hint="eastAsia" w:ascii="微软雅黑" w:hAnsi="微软雅黑" w:eastAsia="微软雅黑"/>
                <w:color w:val="000000"/>
                <w:sz w:val="15"/>
                <w:szCs w:val="15"/>
              </w:rPr>
              <w:t>团队人员结构合理，专业性强，得10分；</w:t>
            </w:r>
          </w:p>
          <w:p>
            <w:pPr>
              <w:adjustRightInd w:val="0"/>
              <w:snapToGrid w:val="0"/>
              <w:spacing w:line="240" w:lineRule="exact"/>
              <w:rPr>
                <w:rFonts w:ascii="微软雅黑" w:hAnsi="微软雅黑" w:eastAsia="微软雅黑"/>
                <w:color w:val="000000"/>
                <w:sz w:val="15"/>
                <w:szCs w:val="15"/>
              </w:rPr>
            </w:pPr>
            <w:r>
              <w:rPr>
                <w:rFonts w:hint="eastAsia" w:ascii="微软雅黑" w:hAnsi="微软雅黑" w:eastAsia="微软雅黑"/>
                <w:color w:val="000000"/>
                <w:sz w:val="15"/>
                <w:szCs w:val="15"/>
              </w:rPr>
              <w:t>团队人员结构较合理，专业性较强，得6分；</w:t>
            </w:r>
          </w:p>
          <w:p>
            <w:pPr>
              <w:adjustRightInd w:val="0"/>
              <w:snapToGrid w:val="0"/>
              <w:spacing w:line="240" w:lineRule="exact"/>
              <w:rPr>
                <w:rFonts w:ascii="微软雅黑" w:hAnsi="微软雅黑" w:eastAsia="微软雅黑"/>
                <w:color w:val="000000"/>
                <w:sz w:val="15"/>
                <w:szCs w:val="15"/>
              </w:rPr>
            </w:pPr>
            <w:r>
              <w:rPr>
                <w:rFonts w:hint="eastAsia" w:ascii="微软雅黑" w:hAnsi="微软雅黑" w:eastAsia="微软雅黑"/>
                <w:color w:val="000000"/>
                <w:sz w:val="15"/>
                <w:szCs w:val="15"/>
              </w:rPr>
              <w:t>团队人员充足，有一定专业性，得3分；</w:t>
            </w:r>
          </w:p>
          <w:p>
            <w:pPr>
              <w:adjustRightInd w:val="0"/>
              <w:snapToGrid w:val="0"/>
              <w:spacing w:line="240" w:lineRule="exact"/>
              <w:rPr>
                <w:rFonts w:ascii="微软雅黑" w:hAnsi="微软雅黑" w:eastAsia="微软雅黑"/>
                <w:color w:val="000000"/>
                <w:sz w:val="15"/>
                <w:szCs w:val="15"/>
              </w:rPr>
            </w:pPr>
            <w:r>
              <w:rPr>
                <w:rFonts w:hint="eastAsia" w:ascii="微软雅黑" w:hAnsi="微软雅黑" w:eastAsia="微软雅黑"/>
                <w:color w:val="000000"/>
                <w:sz w:val="15"/>
                <w:szCs w:val="15"/>
              </w:rPr>
              <w:t>团队人员结构不合理，得0分；</w:t>
            </w:r>
          </w:p>
          <w:p>
            <w:pPr>
              <w:adjustRightInd w:val="0"/>
              <w:snapToGrid w:val="0"/>
              <w:spacing w:line="240" w:lineRule="exact"/>
              <w:rPr>
                <w:rFonts w:ascii="微软雅黑" w:hAnsi="微软雅黑" w:eastAsia="微软雅黑"/>
                <w:color w:val="000000"/>
                <w:sz w:val="15"/>
                <w:szCs w:val="15"/>
              </w:rPr>
            </w:pPr>
            <w:r>
              <w:rPr>
                <w:rFonts w:hint="eastAsia" w:ascii="微软雅黑" w:hAnsi="微软雅黑" w:eastAsia="微软雅黑"/>
                <w:color w:val="000000"/>
                <w:sz w:val="15"/>
                <w:szCs w:val="15"/>
              </w:rPr>
              <w:t>须提供服务人员名单，投标截止日前三个月的人员所在地缴纳社保证明及相关资质和能力证书复印件。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5" w:type="dxa"/>
            <w:noWrap w:val="0"/>
            <w:vAlign w:val="center"/>
          </w:tcPr>
          <w:p>
            <w:pPr>
              <w:adjustRightInd w:val="0"/>
              <w:snapToGrid w:val="0"/>
              <w:spacing w:line="240" w:lineRule="exact"/>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5</w:t>
            </w:r>
          </w:p>
        </w:tc>
        <w:tc>
          <w:tcPr>
            <w:tcW w:w="1793" w:type="dxa"/>
            <w:noWrap w:val="0"/>
            <w:vAlign w:val="center"/>
          </w:tcPr>
          <w:p>
            <w:pPr>
              <w:adjustRightInd w:val="0"/>
              <w:snapToGrid w:val="0"/>
              <w:spacing w:line="240" w:lineRule="exact"/>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工作计划及进度安排</w:t>
            </w:r>
          </w:p>
        </w:tc>
        <w:tc>
          <w:tcPr>
            <w:tcW w:w="509" w:type="dxa"/>
            <w:noWrap w:val="0"/>
            <w:vAlign w:val="center"/>
          </w:tcPr>
          <w:p>
            <w:pPr>
              <w:adjustRightInd w:val="0"/>
              <w:snapToGrid w:val="0"/>
              <w:spacing w:line="240" w:lineRule="exact"/>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10</w:t>
            </w:r>
          </w:p>
        </w:tc>
        <w:tc>
          <w:tcPr>
            <w:tcW w:w="6153" w:type="dxa"/>
            <w:noWrap w:val="0"/>
            <w:vAlign w:val="center"/>
          </w:tcPr>
          <w:p>
            <w:pPr>
              <w:adjustRightInd w:val="0"/>
              <w:snapToGrid w:val="0"/>
              <w:spacing w:line="240" w:lineRule="exact"/>
              <w:rPr>
                <w:rFonts w:ascii="微软雅黑" w:hAnsi="微软雅黑" w:eastAsia="微软雅黑"/>
                <w:color w:val="000000"/>
                <w:sz w:val="15"/>
                <w:szCs w:val="15"/>
              </w:rPr>
            </w:pPr>
            <w:r>
              <w:rPr>
                <w:rFonts w:hint="eastAsia" w:ascii="微软雅黑" w:hAnsi="微软雅黑" w:eastAsia="微软雅黑"/>
                <w:color w:val="000000"/>
                <w:sz w:val="15"/>
                <w:szCs w:val="15"/>
              </w:rPr>
              <w:t>（1）工作计划详实，可操作性强，工作时间与进度计划合理，满足项目要求得10分；</w:t>
            </w:r>
          </w:p>
          <w:p>
            <w:pPr>
              <w:adjustRightInd w:val="0"/>
              <w:snapToGrid w:val="0"/>
              <w:spacing w:line="240" w:lineRule="exact"/>
              <w:rPr>
                <w:rFonts w:ascii="微软雅黑" w:hAnsi="微软雅黑" w:eastAsia="微软雅黑"/>
                <w:color w:val="000000"/>
                <w:sz w:val="15"/>
                <w:szCs w:val="15"/>
              </w:rPr>
            </w:pPr>
            <w:r>
              <w:rPr>
                <w:rFonts w:hint="eastAsia" w:ascii="微软雅黑" w:hAnsi="微软雅黑" w:eastAsia="微软雅黑"/>
                <w:color w:val="000000"/>
                <w:sz w:val="15"/>
                <w:szCs w:val="15"/>
              </w:rPr>
              <w:t>（2）工作计划比较详实，可操作性比较强，工作时间与进度计划比较合理，比较满足项目要求得6分；</w:t>
            </w:r>
          </w:p>
          <w:p>
            <w:pPr>
              <w:adjustRightInd w:val="0"/>
              <w:snapToGrid w:val="0"/>
              <w:spacing w:line="240" w:lineRule="exact"/>
              <w:rPr>
                <w:rFonts w:ascii="微软雅黑" w:hAnsi="微软雅黑" w:eastAsia="微软雅黑"/>
                <w:color w:val="000000"/>
                <w:sz w:val="15"/>
                <w:szCs w:val="15"/>
              </w:rPr>
            </w:pPr>
            <w:r>
              <w:rPr>
                <w:rFonts w:hint="eastAsia" w:ascii="微软雅黑" w:hAnsi="微软雅黑" w:eastAsia="微软雅黑"/>
                <w:color w:val="000000"/>
                <w:sz w:val="15"/>
                <w:szCs w:val="15"/>
              </w:rPr>
              <w:t>（3）工作计划简单，工作时间与进度计划基本满足项目要求，得3分；</w:t>
            </w:r>
          </w:p>
          <w:p>
            <w:pPr>
              <w:adjustRightInd w:val="0"/>
              <w:snapToGrid w:val="0"/>
              <w:spacing w:line="240" w:lineRule="exact"/>
              <w:rPr>
                <w:rFonts w:ascii="微软雅黑" w:hAnsi="微软雅黑" w:eastAsia="微软雅黑"/>
                <w:color w:val="000000"/>
                <w:sz w:val="15"/>
                <w:szCs w:val="15"/>
              </w:rPr>
            </w:pPr>
            <w:r>
              <w:rPr>
                <w:rFonts w:hint="eastAsia" w:ascii="微软雅黑" w:hAnsi="微软雅黑" w:eastAsia="微软雅黑"/>
                <w:color w:val="000000"/>
                <w:sz w:val="15"/>
                <w:szCs w:val="15"/>
              </w:rPr>
              <w:t>（4）工作计划不合理，工作时间与进度计划不满足项目要求，得0分。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eastAsia" w:ascii="微软雅黑" w:hAnsi="微软雅黑" w:eastAsia="微软雅黑"/>
                <w:color w:val="000000"/>
                <w:sz w:val="15"/>
                <w:szCs w:val="15"/>
              </w:rPr>
            </w:pPr>
            <w:r>
              <w:rPr>
                <w:rFonts w:hint="eastAsia" w:ascii="微软雅黑" w:hAnsi="微软雅黑" w:eastAsia="微软雅黑"/>
                <w:color w:val="000000"/>
                <w:sz w:val="15"/>
                <w:szCs w:val="15"/>
              </w:rPr>
              <w:t>6</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同类业绩</w:t>
            </w:r>
          </w:p>
        </w:tc>
        <w:tc>
          <w:tcPr>
            <w:tcW w:w="5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10</w:t>
            </w:r>
          </w:p>
        </w:tc>
        <w:tc>
          <w:tcPr>
            <w:tcW w:w="61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ascii="微软雅黑" w:hAnsi="微软雅黑" w:eastAsia="微软雅黑"/>
                <w:color w:val="000000"/>
                <w:sz w:val="15"/>
                <w:szCs w:val="15"/>
              </w:rPr>
            </w:pPr>
            <w:r>
              <w:rPr>
                <w:rFonts w:hint="eastAsia" w:ascii="微软雅黑" w:hAnsi="微软雅黑" w:eastAsia="微软雅黑"/>
                <w:color w:val="000000"/>
                <w:sz w:val="15"/>
                <w:szCs w:val="15"/>
              </w:rPr>
              <w:t>投标人</w:t>
            </w:r>
            <w:r>
              <w:rPr>
                <w:rFonts w:ascii="微软雅黑" w:hAnsi="微软雅黑" w:eastAsia="微软雅黑"/>
                <w:color w:val="000000"/>
                <w:sz w:val="15"/>
                <w:szCs w:val="15"/>
              </w:rPr>
              <w:t>2019年1月1日</w:t>
            </w:r>
            <w:r>
              <w:rPr>
                <w:rFonts w:hint="eastAsia" w:ascii="微软雅黑" w:hAnsi="微软雅黑" w:eastAsia="微软雅黑"/>
                <w:color w:val="000000"/>
                <w:sz w:val="15"/>
                <w:szCs w:val="15"/>
              </w:rPr>
              <w:t>以来（以合同签订时间为准）完成与本项目同类业绩的，每个得2分。本项最高得10分。</w:t>
            </w:r>
          </w:p>
          <w:p>
            <w:pPr>
              <w:adjustRightInd w:val="0"/>
              <w:snapToGrid w:val="0"/>
              <w:spacing w:line="240" w:lineRule="exact"/>
              <w:rPr>
                <w:rFonts w:ascii="微软雅黑" w:hAnsi="微软雅黑" w:eastAsia="微软雅黑"/>
                <w:color w:val="000000"/>
                <w:sz w:val="15"/>
                <w:szCs w:val="15"/>
              </w:rPr>
            </w:pPr>
            <w:r>
              <w:rPr>
                <w:rFonts w:hint="eastAsia" w:ascii="微软雅黑" w:hAnsi="微软雅黑" w:eastAsia="微软雅黑"/>
                <w:color w:val="000000"/>
                <w:sz w:val="15"/>
                <w:szCs w:val="15"/>
              </w:rPr>
              <w:t>注：需提供合同或中标通知书复印件且加盖，否则不得分。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eastAsia" w:ascii="微软雅黑" w:hAnsi="微软雅黑" w:eastAsia="微软雅黑"/>
                <w:color w:val="000000"/>
                <w:sz w:val="15"/>
                <w:szCs w:val="15"/>
              </w:rPr>
            </w:pPr>
            <w:r>
              <w:rPr>
                <w:rFonts w:hint="eastAsia" w:ascii="微软雅黑" w:hAnsi="微软雅黑" w:eastAsia="微软雅黑"/>
                <w:color w:val="000000"/>
                <w:sz w:val="15"/>
                <w:szCs w:val="15"/>
              </w:rPr>
              <w:t>7</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企业管理体系</w:t>
            </w:r>
          </w:p>
        </w:tc>
        <w:tc>
          <w:tcPr>
            <w:tcW w:w="5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微软雅黑" w:hAnsi="微软雅黑" w:eastAsia="微软雅黑"/>
                <w:color w:val="000000"/>
                <w:sz w:val="15"/>
                <w:szCs w:val="15"/>
              </w:rPr>
            </w:pPr>
            <w:r>
              <w:rPr>
                <w:rFonts w:ascii="微软雅黑" w:hAnsi="微软雅黑" w:eastAsia="微软雅黑"/>
                <w:color w:val="000000"/>
                <w:sz w:val="15"/>
                <w:szCs w:val="15"/>
              </w:rPr>
              <w:t>6</w:t>
            </w:r>
          </w:p>
        </w:tc>
        <w:tc>
          <w:tcPr>
            <w:tcW w:w="61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ascii="微软雅黑" w:hAnsi="微软雅黑" w:eastAsia="微软雅黑"/>
                <w:color w:val="000000"/>
                <w:sz w:val="15"/>
                <w:szCs w:val="15"/>
              </w:rPr>
            </w:pPr>
            <w:r>
              <w:rPr>
                <w:rFonts w:hint="eastAsia" w:ascii="微软雅黑" w:hAnsi="微软雅黑" w:eastAsia="微软雅黑"/>
                <w:color w:val="000000"/>
                <w:sz w:val="15"/>
                <w:szCs w:val="15"/>
              </w:rPr>
              <w:t>投标人提供以下3个管理体系认证证书，每一个得</w:t>
            </w:r>
            <w:r>
              <w:rPr>
                <w:rFonts w:ascii="微软雅黑" w:hAnsi="微软雅黑" w:eastAsia="微软雅黑"/>
                <w:color w:val="000000"/>
                <w:sz w:val="15"/>
                <w:szCs w:val="15"/>
              </w:rPr>
              <w:t>2</w:t>
            </w:r>
            <w:r>
              <w:rPr>
                <w:rFonts w:hint="eastAsia" w:ascii="微软雅黑" w:hAnsi="微软雅黑" w:eastAsia="微软雅黑"/>
                <w:color w:val="000000"/>
                <w:sz w:val="15"/>
                <w:szCs w:val="15"/>
              </w:rPr>
              <w:t>分，本评分项最多得</w:t>
            </w:r>
            <w:r>
              <w:rPr>
                <w:rFonts w:ascii="微软雅黑" w:hAnsi="微软雅黑" w:eastAsia="微软雅黑"/>
                <w:color w:val="000000"/>
                <w:sz w:val="15"/>
                <w:szCs w:val="15"/>
              </w:rPr>
              <w:t>6</w:t>
            </w:r>
            <w:r>
              <w:rPr>
                <w:rFonts w:hint="eastAsia" w:ascii="微软雅黑" w:hAnsi="微软雅黑" w:eastAsia="微软雅黑"/>
                <w:color w:val="000000"/>
                <w:sz w:val="15"/>
                <w:szCs w:val="15"/>
              </w:rPr>
              <w:t>分。</w:t>
            </w:r>
          </w:p>
          <w:p>
            <w:pPr>
              <w:adjustRightInd w:val="0"/>
              <w:snapToGrid w:val="0"/>
              <w:spacing w:line="240" w:lineRule="exact"/>
              <w:rPr>
                <w:rFonts w:ascii="微软雅黑" w:hAnsi="微软雅黑" w:eastAsia="微软雅黑"/>
                <w:color w:val="000000"/>
                <w:sz w:val="15"/>
                <w:szCs w:val="15"/>
              </w:rPr>
            </w:pPr>
            <w:r>
              <w:rPr>
                <w:rFonts w:hint="eastAsia" w:ascii="微软雅黑" w:hAnsi="微软雅黑" w:eastAsia="微软雅黑"/>
                <w:color w:val="000000"/>
                <w:sz w:val="15"/>
                <w:szCs w:val="15"/>
              </w:rPr>
              <w:t>（1）质量管理体系认证证书；</w:t>
            </w:r>
          </w:p>
          <w:p>
            <w:pPr>
              <w:adjustRightInd w:val="0"/>
              <w:snapToGrid w:val="0"/>
              <w:spacing w:line="240" w:lineRule="exact"/>
              <w:rPr>
                <w:rFonts w:ascii="微软雅黑" w:hAnsi="微软雅黑" w:eastAsia="微软雅黑"/>
                <w:color w:val="000000"/>
                <w:sz w:val="15"/>
                <w:szCs w:val="15"/>
              </w:rPr>
            </w:pPr>
            <w:r>
              <w:rPr>
                <w:rFonts w:hint="eastAsia" w:ascii="微软雅黑" w:hAnsi="微软雅黑" w:eastAsia="微软雅黑"/>
                <w:color w:val="000000"/>
                <w:sz w:val="15"/>
                <w:szCs w:val="15"/>
              </w:rPr>
              <w:t>（2）职业健康管理体系认证证书：</w:t>
            </w:r>
          </w:p>
          <w:p>
            <w:pPr>
              <w:adjustRightInd w:val="0"/>
              <w:snapToGrid w:val="0"/>
              <w:spacing w:line="240" w:lineRule="exact"/>
              <w:rPr>
                <w:rFonts w:ascii="微软雅黑" w:hAnsi="微软雅黑" w:eastAsia="微软雅黑"/>
                <w:color w:val="000000"/>
                <w:sz w:val="15"/>
                <w:szCs w:val="15"/>
              </w:rPr>
            </w:pPr>
            <w:r>
              <w:rPr>
                <w:rFonts w:hint="eastAsia" w:ascii="微软雅黑" w:hAnsi="微软雅黑" w:eastAsia="微软雅黑"/>
                <w:color w:val="000000"/>
                <w:sz w:val="15"/>
                <w:szCs w:val="15"/>
              </w:rPr>
              <w:t>（3）环境管理体系认证证书。</w:t>
            </w:r>
          </w:p>
          <w:p>
            <w:pPr>
              <w:adjustRightInd w:val="0"/>
              <w:snapToGrid w:val="0"/>
              <w:spacing w:line="240" w:lineRule="exact"/>
              <w:rPr>
                <w:rFonts w:ascii="微软雅黑" w:hAnsi="微软雅黑" w:eastAsia="微软雅黑"/>
                <w:color w:val="000000"/>
                <w:sz w:val="15"/>
                <w:szCs w:val="15"/>
              </w:rPr>
            </w:pPr>
            <w:r>
              <w:rPr>
                <w:rFonts w:hint="eastAsia" w:ascii="微软雅黑" w:hAnsi="微软雅黑" w:eastAsia="微软雅黑"/>
                <w:color w:val="000000"/>
                <w:sz w:val="15"/>
                <w:szCs w:val="15"/>
              </w:rPr>
              <w:t>注：须同时提供有效认证证书复印件并加盖响应供应商公章及全国认证认可信息公共服务平台（http://cx.cnca.cn/）查询打印页并加盖响应供应商公章，不提供不得分。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eastAsia" w:ascii="微软雅黑" w:hAnsi="微软雅黑" w:eastAsia="微软雅黑"/>
                <w:color w:val="000000"/>
                <w:sz w:val="15"/>
                <w:szCs w:val="15"/>
              </w:rPr>
            </w:pPr>
            <w:r>
              <w:rPr>
                <w:rFonts w:hint="eastAsia" w:ascii="微软雅黑" w:hAnsi="微软雅黑" w:eastAsia="微软雅黑"/>
                <w:color w:val="000000"/>
                <w:sz w:val="15"/>
                <w:szCs w:val="15"/>
              </w:rPr>
              <w:t>8</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投标人资质和信誉</w:t>
            </w:r>
          </w:p>
        </w:tc>
        <w:tc>
          <w:tcPr>
            <w:tcW w:w="5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微软雅黑" w:hAnsi="微软雅黑" w:eastAsia="微软雅黑"/>
                <w:color w:val="000000"/>
                <w:sz w:val="15"/>
                <w:szCs w:val="15"/>
              </w:rPr>
            </w:pPr>
            <w:r>
              <w:rPr>
                <w:rFonts w:ascii="微软雅黑" w:hAnsi="微软雅黑" w:eastAsia="微软雅黑"/>
                <w:color w:val="000000"/>
                <w:sz w:val="15"/>
                <w:szCs w:val="15"/>
              </w:rPr>
              <w:t>5</w:t>
            </w:r>
          </w:p>
        </w:tc>
        <w:tc>
          <w:tcPr>
            <w:tcW w:w="61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ascii="微软雅黑" w:hAnsi="微软雅黑" w:eastAsia="微软雅黑"/>
                <w:color w:val="000000"/>
                <w:sz w:val="15"/>
                <w:szCs w:val="15"/>
              </w:rPr>
            </w:pPr>
            <w:r>
              <w:rPr>
                <w:rFonts w:hint="eastAsia" w:ascii="微软雅黑" w:hAnsi="微软雅黑" w:eastAsia="微软雅黑"/>
                <w:color w:val="000000"/>
                <w:sz w:val="15"/>
                <w:szCs w:val="15"/>
              </w:rPr>
              <w:t>投标人荣获第三方（政府部门或行业协会等）颁发的荣誉或嘉奖情况进行综合评审：获得省级荣誉或嘉奖的，每提供一项得2分；省级以下荣誉或嘉奖的，每提供一项得1分；总得分不超过</w:t>
            </w:r>
            <w:r>
              <w:rPr>
                <w:rFonts w:ascii="微软雅黑" w:hAnsi="微软雅黑" w:eastAsia="微软雅黑"/>
                <w:color w:val="000000"/>
                <w:sz w:val="15"/>
                <w:szCs w:val="15"/>
              </w:rPr>
              <w:t>4</w:t>
            </w:r>
            <w:r>
              <w:rPr>
                <w:rFonts w:hint="eastAsia" w:ascii="微软雅黑" w:hAnsi="微软雅黑" w:eastAsia="微软雅黑"/>
                <w:color w:val="000000"/>
                <w:sz w:val="15"/>
                <w:szCs w:val="15"/>
              </w:rPr>
              <w:t>分。无：得0分。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eastAsia" w:ascii="微软雅黑" w:hAnsi="微软雅黑" w:eastAsia="微软雅黑"/>
                <w:color w:val="000000"/>
                <w:sz w:val="15"/>
                <w:szCs w:val="15"/>
              </w:rPr>
            </w:pPr>
            <w:r>
              <w:rPr>
                <w:rFonts w:hint="eastAsia" w:ascii="微软雅黑" w:hAnsi="微软雅黑" w:eastAsia="微软雅黑"/>
                <w:color w:val="000000"/>
                <w:sz w:val="15"/>
                <w:szCs w:val="15"/>
              </w:rPr>
              <w:t>9</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企业信用等级证书</w:t>
            </w:r>
          </w:p>
        </w:tc>
        <w:tc>
          <w:tcPr>
            <w:tcW w:w="5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微软雅黑" w:hAnsi="微软雅黑" w:eastAsia="微软雅黑"/>
                <w:color w:val="000000"/>
                <w:sz w:val="15"/>
                <w:szCs w:val="15"/>
              </w:rPr>
            </w:pPr>
            <w:r>
              <w:rPr>
                <w:rFonts w:ascii="微软雅黑" w:hAnsi="微软雅黑" w:eastAsia="微软雅黑"/>
                <w:color w:val="000000"/>
                <w:sz w:val="15"/>
                <w:szCs w:val="15"/>
              </w:rPr>
              <w:t>5</w:t>
            </w:r>
          </w:p>
        </w:tc>
        <w:tc>
          <w:tcPr>
            <w:tcW w:w="61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ascii="微软雅黑" w:hAnsi="微软雅黑" w:eastAsia="微软雅黑"/>
                <w:color w:val="000000"/>
                <w:sz w:val="15"/>
                <w:szCs w:val="15"/>
              </w:rPr>
            </w:pPr>
            <w:r>
              <w:rPr>
                <w:rFonts w:hint="eastAsia" w:ascii="微软雅黑" w:hAnsi="微软雅黑" w:eastAsia="微软雅黑"/>
                <w:color w:val="000000"/>
                <w:sz w:val="15"/>
                <w:szCs w:val="15"/>
              </w:rPr>
              <w:t>响应供应商获得企业信用评价AAA级证书得5分；AA级证书得3分；A级证书得1分；没有或其他不得分。</w:t>
            </w:r>
          </w:p>
          <w:p>
            <w:pPr>
              <w:adjustRightInd w:val="0"/>
              <w:snapToGrid w:val="0"/>
              <w:spacing w:line="240" w:lineRule="exact"/>
              <w:rPr>
                <w:rFonts w:ascii="微软雅黑" w:hAnsi="微软雅黑" w:eastAsia="微软雅黑"/>
                <w:color w:val="000000"/>
                <w:sz w:val="15"/>
                <w:szCs w:val="15"/>
              </w:rPr>
            </w:pPr>
            <w:r>
              <w:rPr>
                <w:rFonts w:hint="eastAsia" w:ascii="微软雅黑" w:hAnsi="微软雅黑" w:eastAsia="微软雅黑"/>
                <w:color w:val="000000"/>
                <w:sz w:val="15"/>
                <w:szCs w:val="15"/>
              </w:rPr>
              <w:t>备注：提供有效期内的证书复印件。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10</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服务便利性</w:t>
            </w:r>
          </w:p>
        </w:tc>
        <w:tc>
          <w:tcPr>
            <w:tcW w:w="5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微软雅黑" w:hAnsi="微软雅黑" w:eastAsia="微软雅黑"/>
                <w:color w:val="000000"/>
                <w:sz w:val="15"/>
                <w:szCs w:val="15"/>
              </w:rPr>
            </w:pPr>
            <w:r>
              <w:rPr>
                <w:rFonts w:ascii="微软雅黑" w:hAnsi="微软雅黑" w:eastAsia="微软雅黑"/>
                <w:color w:val="000000"/>
                <w:sz w:val="15"/>
                <w:szCs w:val="15"/>
              </w:rPr>
              <w:t>4</w:t>
            </w:r>
          </w:p>
        </w:tc>
        <w:tc>
          <w:tcPr>
            <w:tcW w:w="61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ascii="微软雅黑" w:hAnsi="微软雅黑" w:eastAsia="微软雅黑"/>
                <w:color w:val="000000"/>
                <w:sz w:val="15"/>
                <w:szCs w:val="15"/>
              </w:rPr>
            </w:pPr>
            <w:r>
              <w:rPr>
                <w:rFonts w:hint="eastAsia" w:ascii="微软雅黑" w:hAnsi="微软雅黑" w:eastAsia="微软雅黑"/>
                <w:color w:val="000000"/>
                <w:sz w:val="15"/>
                <w:szCs w:val="15"/>
              </w:rPr>
              <w:t>团队在接到采购人通知后能在1小时以内到达采购人地址的得</w:t>
            </w:r>
            <w:r>
              <w:rPr>
                <w:rFonts w:ascii="微软雅黑" w:hAnsi="微软雅黑" w:eastAsia="微软雅黑"/>
                <w:color w:val="000000"/>
                <w:sz w:val="15"/>
                <w:szCs w:val="15"/>
              </w:rPr>
              <w:t>4</w:t>
            </w:r>
            <w:r>
              <w:rPr>
                <w:rFonts w:hint="eastAsia" w:ascii="微软雅黑" w:hAnsi="微软雅黑" w:eastAsia="微软雅黑"/>
                <w:color w:val="000000"/>
                <w:sz w:val="15"/>
                <w:szCs w:val="15"/>
              </w:rPr>
              <w:t>分，1.5小时以内的得</w:t>
            </w:r>
            <w:r>
              <w:rPr>
                <w:rFonts w:ascii="微软雅黑" w:hAnsi="微软雅黑" w:eastAsia="微软雅黑"/>
                <w:color w:val="000000"/>
                <w:sz w:val="15"/>
                <w:szCs w:val="15"/>
              </w:rPr>
              <w:t>2</w:t>
            </w:r>
            <w:r>
              <w:rPr>
                <w:rFonts w:hint="eastAsia" w:ascii="微软雅黑" w:hAnsi="微软雅黑" w:eastAsia="微软雅黑"/>
                <w:color w:val="000000"/>
                <w:sz w:val="15"/>
                <w:szCs w:val="15"/>
              </w:rPr>
              <w:t>分，2小时以内的得1分，其他不得分。</w:t>
            </w:r>
          </w:p>
          <w:p>
            <w:pPr>
              <w:adjustRightInd w:val="0"/>
              <w:snapToGrid w:val="0"/>
              <w:spacing w:line="240" w:lineRule="exact"/>
              <w:rPr>
                <w:rFonts w:ascii="微软雅黑" w:hAnsi="微软雅黑" w:eastAsia="微软雅黑"/>
                <w:color w:val="000000"/>
                <w:sz w:val="15"/>
                <w:szCs w:val="15"/>
              </w:rPr>
            </w:pPr>
            <w:r>
              <w:rPr>
                <w:rFonts w:hint="eastAsia" w:ascii="微软雅黑" w:hAnsi="微软雅黑" w:eastAsia="微软雅黑"/>
                <w:color w:val="000000"/>
                <w:sz w:val="15"/>
                <w:szCs w:val="15"/>
              </w:rPr>
              <w:t>注：须提供供应商办公地址至采购人地址的百度地图所示的驾驶时间截图作为证明材料，否则不得分。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03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微软雅黑" w:hAnsi="微软雅黑" w:eastAsia="微软雅黑"/>
                <w:color w:val="000000"/>
                <w:sz w:val="15"/>
                <w:szCs w:val="15"/>
              </w:rPr>
            </w:pPr>
            <w:r>
              <w:rPr>
                <w:rFonts w:ascii="微软雅黑" w:hAnsi="微软雅黑" w:eastAsia="微软雅黑"/>
                <w:color w:val="000000"/>
                <w:sz w:val="15"/>
                <w:szCs w:val="15"/>
              </w:rPr>
              <w:t>合计</w:t>
            </w:r>
          </w:p>
        </w:tc>
        <w:tc>
          <w:tcPr>
            <w:tcW w:w="61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eastAsia" w:ascii="微软雅黑" w:hAnsi="微软雅黑" w:eastAsia="微软雅黑"/>
                <w:color w:val="000000"/>
                <w:sz w:val="15"/>
                <w:szCs w:val="15"/>
              </w:rPr>
            </w:pPr>
            <w:r>
              <w:rPr>
                <w:rFonts w:hint="eastAsia" w:ascii="微软雅黑" w:hAnsi="微软雅黑" w:eastAsia="微软雅黑"/>
                <w:color w:val="000000"/>
                <w:sz w:val="15"/>
                <w:szCs w:val="15"/>
              </w:rPr>
              <w:t>9</w:t>
            </w:r>
            <w:r>
              <w:rPr>
                <w:rFonts w:ascii="微软雅黑" w:hAnsi="微软雅黑" w:eastAsia="微软雅黑"/>
                <w:color w:val="000000"/>
                <w:sz w:val="15"/>
                <w:szCs w:val="15"/>
              </w:rPr>
              <w:t>0分</w:t>
            </w:r>
          </w:p>
        </w:tc>
      </w:tr>
    </w:tbl>
    <w:p>
      <w:pPr>
        <w:adjustRightInd w:val="0"/>
        <w:snapToGrid w:val="0"/>
        <w:spacing w:line="276" w:lineRule="auto"/>
        <w:ind w:firstLine="321" w:firstLineChars="100"/>
        <w:rPr>
          <w:rFonts w:hint="eastAsia" w:ascii="楷体" w:hAnsi="楷体" w:eastAsia="楷体" w:cs="楷体"/>
          <w:b/>
          <w:bCs/>
          <w:sz w:val="32"/>
          <w:szCs w:val="32"/>
        </w:rPr>
      </w:pPr>
    </w:p>
    <w:p>
      <w:pPr>
        <w:adjustRightInd w:val="0"/>
        <w:snapToGrid w:val="0"/>
        <w:spacing w:line="276" w:lineRule="auto"/>
        <w:ind w:firstLine="321" w:firstLineChars="100"/>
        <w:rPr>
          <w:rFonts w:hint="eastAsia" w:ascii="仿宋_GB2312" w:hAnsi="仿宋_GB2312" w:eastAsia="仿宋_GB2312" w:cs="仿宋_GB2312"/>
          <w:b w:val="0"/>
          <w:bCs/>
          <w:color w:val="000000"/>
          <w:sz w:val="30"/>
          <w:szCs w:val="30"/>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价格</w:t>
      </w:r>
      <w:r>
        <w:rPr>
          <w:rFonts w:hint="eastAsia" w:ascii="楷体" w:hAnsi="楷体" w:eastAsia="楷体" w:cs="楷体"/>
          <w:b/>
          <w:bCs/>
          <w:sz w:val="32"/>
          <w:szCs w:val="32"/>
        </w:rPr>
        <w:t>评分：</w:t>
      </w:r>
    </w:p>
    <w:p>
      <w:pPr>
        <w:adjustRightInd w:val="0"/>
        <w:snapToGrid w:val="0"/>
        <w:spacing w:line="276" w:lineRule="auto"/>
        <w:ind w:firstLine="600" w:firstLineChars="200"/>
        <w:jc w:val="left"/>
        <w:rPr>
          <w:rFonts w:hint="eastAsia" w:ascii="仿宋_GB2312" w:hAnsi="仿宋_GB2312" w:eastAsia="仿宋_GB2312" w:cs="仿宋_GB2312"/>
          <w:b w:val="0"/>
          <w:bCs/>
          <w:color w:val="000000"/>
          <w:sz w:val="30"/>
          <w:szCs w:val="30"/>
        </w:rPr>
      </w:pPr>
      <w:r>
        <w:rPr>
          <w:rFonts w:hint="eastAsia" w:ascii="仿宋_GB2312" w:hAnsi="仿宋_GB2312" w:eastAsia="仿宋_GB2312" w:cs="仿宋_GB2312"/>
          <w:b w:val="0"/>
          <w:bCs/>
          <w:color w:val="000000"/>
          <w:sz w:val="30"/>
          <w:szCs w:val="30"/>
        </w:rPr>
        <w:t>各有效磋商供应商的评审价中（以最终报价为依据），取最低价者作为基准价，各有效响应供应商的价格评分统一按照下列公式计算：价格得分＝（基准价÷评审价）×10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F230FF8-D69B-40E9-8607-B4A6BF124F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C0CB322-9BD2-4440-8EA9-F347FE1C5136}"/>
  </w:font>
  <w:font w:name="微软雅黑">
    <w:panose1 w:val="020B0503020204020204"/>
    <w:charset w:val="86"/>
    <w:family w:val="auto"/>
    <w:pitch w:val="default"/>
    <w:sig w:usb0="80000287" w:usb1="2ACF3C50" w:usb2="00000016" w:usb3="00000000" w:csb0="0004001F" w:csb1="00000000"/>
    <w:embedRegular r:id="rId3" w:fontKey="{CDA0D944-5486-44A7-A3E2-9661FF2A5A6C}"/>
  </w:font>
  <w:font w:name="仿宋_GB2312">
    <w:panose1 w:val="02010609030101010101"/>
    <w:charset w:val="86"/>
    <w:family w:val="auto"/>
    <w:pitch w:val="default"/>
    <w:sig w:usb0="00000001" w:usb1="080E0000" w:usb2="00000000" w:usb3="00000000" w:csb0="00040000" w:csb1="00000000"/>
    <w:embedRegular r:id="rId4" w:fontKey="{B2DC5450-493F-4456-9EF5-15FAA3D03A95}"/>
  </w:font>
  <w:font w:name="楷体">
    <w:panose1 w:val="02010609060101010101"/>
    <w:charset w:val="86"/>
    <w:family w:val="modern"/>
    <w:pitch w:val="default"/>
    <w:sig w:usb0="800002BF" w:usb1="38CF7CFA" w:usb2="00000016" w:usb3="00000000" w:csb0="00040001" w:csb1="00000000"/>
    <w:embedRegular r:id="rId5" w:fontKey="{377A6273-39A5-4BFD-BEFB-B6D6E6530FEA}"/>
  </w:font>
  <w:font w:name="方正小标宋简体">
    <w:panose1 w:val="02000000000000000000"/>
    <w:charset w:val="86"/>
    <w:family w:val="auto"/>
    <w:pitch w:val="default"/>
    <w:sig w:usb0="00000001" w:usb1="08000000" w:usb2="00000000" w:usb3="00000000" w:csb0="00040000" w:csb1="00000000"/>
    <w:embedRegular r:id="rId6" w:fontKey="{F82A5F7E-A8DB-4127-A190-3D46535C3719}"/>
  </w:font>
  <w:font w:name="仿宋">
    <w:panose1 w:val="02010609060101010101"/>
    <w:charset w:val="86"/>
    <w:family w:val="modern"/>
    <w:pitch w:val="default"/>
    <w:sig w:usb0="800002BF" w:usb1="38CF7CFA" w:usb2="00000016" w:usb3="00000000" w:csb0="00040001" w:csb1="00000000"/>
    <w:embedRegular r:id="rId7" w:fontKey="{BD31B446-5252-4243-BCC3-F122DDB7991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8D878C"/>
    <w:multiLevelType w:val="singleLevel"/>
    <w:tmpl w:val="B58D878C"/>
    <w:lvl w:ilvl="0" w:tentative="0">
      <w:start w:val="1"/>
      <w:numFmt w:val="decimal"/>
      <w:suff w:val="nothing"/>
      <w:lvlText w:val="%1、"/>
      <w:lvlJc w:val="left"/>
      <w:pPr>
        <w:ind w:left="0" w:firstLine="0"/>
      </w:pPr>
    </w:lvl>
  </w:abstractNum>
  <w:abstractNum w:abstractNumId="1">
    <w:nsid w:val="5AB4E48D"/>
    <w:multiLevelType w:val="singleLevel"/>
    <w:tmpl w:val="5AB4E48D"/>
    <w:lvl w:ilvl="0" w:tentative="0">
      <w:start w:val="1"/>
      <w:numFmt w:val="decimal"/>
      <w:lvlText w:val="%1."/>
      <w:lvlJc w:val="left"/>
      <w:pPr>
        <w:tabs>
          <w:tab w:val="left" w:pos="312"/>
        </w:tabs>
        <w:ind w:left="0" w:firstLine="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NmMxMTlkOTYyYTk2NDU1MGE1NGUyZDJjMzAxOWUifQ=="/>
  </w:docVars>
  <w:rsids>
    <w:rsidRoot w:val="54FF0782"/>
    <w:rsid w:val="54FF0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pPr>
      <w:spacing w:after="120" w:line="360" w:lineRule="auto"/>
      <w:ind w:firstLine="425"/>
    </w:pPr>
    <w:rPr>
      <w:sz w:val="24"/>
      <w:szCs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w:basedOn w:val="3"/>
    <w:qFormat/>
    <w:uiPriority w:val="0"/>
    <w:pPr>
      <w:ind w:firstLine="420" w:firstLineChars="10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2023-03-15T07:52:00Z</dcterms:created>
  <dc:creator>Aily Bunny</dc:creator>
  <cp:lastModifiedBy>Aily Bunny</cp:lastModifiedBy>
  <dcterms:modified xsi:type="dcterms:W3CDTF">2023-03-15T07:53:06Z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4B245670772B4615A6B26CCD32F7E050</vt:lpwstr>
  </property>
</Properties>
</file>