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省数字方志馆开发（一期）项目</w:t>
      </w:r>
    </w:p>
    <w:p>
      <w:pPr>
        <w:widowControl/>
        <w:shd w:val="clear" w:color="auto" w:fill="FFFFFF"/>
        <w:spacing w:line="60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商用密码方案评估服务需求</w:t>
      </w:r>
    </w:p>
    <w:p>
      <w:pPr>
        <w:widowControl/>
        <w:shd w:val="clear" w:color="auto" w:fill="FFFFFF"/>
        <w:spacing w:line="600" w:lineRule="atLeast"/>
        <w:ind w:firstLine="480"/>
        <w:rPr>
          <w:rFonts w:ascii="黑体" w:hAnsi="黑体" w:eastAsia="黑体" w:cs="黑体"/>
          <w:sz w:val="32"/>
          <w:szCs w:val="32"/>
        </w:rPr>
      </w:pPr>
      <w:r>
        <w:rPr>
          <w:rFonts w:hint="eastAsia" w:ascii="黑体" w:hAnsi="黑体" w:eastAsia="黑体" w:cs="黑体"/>
          <w:sz w:val="32"/>
          <w:szCs w:val="32"/>
        </w:rPr>
        <w:t>一、服务主要内容</w:t>
      </w:r>
    </w:p>
    <w:p>
      <w:pPr>
        <w:widowControl/>
        <w:shd w:val="clear" w:color="auto" w:fill="FFFFFF"/>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网络安全法》、《信息系统密码应用基本要求》（GB/T39786-2021）等标准，对省数字方志馆开发（一期）项目（暂定名，最终以省政数局审批通过的项目名称为准）信息系统进行商用密码方案评估。</w:t>
      </w:r>
    </w:p>
    <w:p>
      <w:pPr>
        <w:widowControl/>
        <w:shd w:val="clear" w:color="auto" w:fill="FFFFFF"/>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用密码方案评估主要是依据系统定级情况，审查被测系统责任单位的密码应用设计方案或系统安全设计方案中密码应用设计部分是否涵盖了所有需采用密码保护的核心资产或敏感信息，已设计的密码保护措施是否均能达到相应等级的密码使用要求或规定。</w:t>
      </w:r>
    </w:p>
    <w:p>
      <w:pPr>
        <w:widowControl/>
        <w:shd w:val="clear" w:color="auto" w:fill="FFFFFF"/>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测评机构对被测系统的密码应用方案进行评估，对密码技术方案的正确性、密码技术对信息系统安全保护的有效性、密码产品选取的合规性等方面进行评估。对于没有通过评估的密码应用方案，由测评机构给出整改建议，被测系统责任单位依据方案不符合程度决定对设计方案进行修改完善或重新设计，并向测评机构反馈整改结果，直至整改通过，测评机构出具评估报告。  </w:t>
      </w:r>
    </w:p>
    <w:p>
      <w:pPr>
        <w:widowControl/>
        <w:shd w:val="clear" w:color="auto" w:fill="FFFFFF"/>
        <w:spacing w:line="600" w:lineRule="atLeas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 xml:space="preserve">二、项目背景  </w:t>
      </w:r>
      <w:r>
        <w:rPr>
          <w:rFonts w:hint="eastAsia" w:ascii="仿宋_GB2312" w:hAnsi="仿宋_GB2312" w:eastAsia="仿宋_GB2312" w:cs="仿宋_GB2312"/>
          <w:bCs/>
          <w:sz w:val="32"/>
          <w:szCs w:val="32"/>
        </w:rPr>
        <w:t xml:space="preserve"> </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（一）总体背景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使用密码保护网络是《网络安全法》《密码法》《商用密码管理条例》《信息安全等级保护商用密码管理办法》《商用密码应用安全性评估管理办法(试行)》《关键信息基础设施保护条例（征求意见稿）》两办《金融和重要领域密码应用与创新发展工作规划（2018-2022）》等法律法规和规划提出的明确要求，也是广东省《广东“数字政府”改革建设方案》（粤府〔2017〕133号）《省直非涉密政务信息系统密码应用方案前置审核工作指引》（粤密码局发〔2018〕22号）省政数局《广东省省级政务信息化服务项目立项审批细则（试行）》中明确要求的内容。</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（二）服务目标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对被测系统的密码应用方案进行评估，对密码技术方案的正确性、密码技术对信息系统安全保护的有效性、密码产品选取的合规性等方面进行评估直至整改通过，测评机构出具评估报告。密码应用方案经过评估或整改通过后，推进整个项目进入系统建设或改造阶段。</w:t>
      </w:r>
    </w:p>
    <w:p>
      <w:pPr>
        <w:spacing w:line="360" w:lineRule="auto"/>
        <w:ind w:firstLine="640"/>
        <w:rPr>
          <w:rFonts w:ascii="黑体" w:hAnsi="黑体" w:eastAsia="黑体" w:cs="黑体"/>
          <w:bCs/>
          <w:sz w:val="32"/>
          <w:szCs w:val="32"/>
        </w:rPr>
      </w:pPr>
      <w:r>
        <w:rPr>
          <w:rFonts w:hint="eastAsia" w:ascii="黑体" w:hAnsi="黑体" w:eastAsia="黑体" w:cs="黑体"/>
          <w:bCs/>
          <w:sz w:val="32"/>
          <w:szCs w:val="32"/>
        </w:rPr>
        <w:t>三、咨询服务成果及周期</w:t>
      </w:r>
    </w:p>
    <w:p>
      <w:pPr>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成果物：《系统密码应用方案评估报告》，报省密码管理局审批。</w:t>
      </w:r>
    </w:p>
    <w:p>
      <w:pPr>
        <w:pStyle w:val="18"/>
        <w:spacing w:line="360" w:lineRule="auto"/>
        <w:ind w:firstLine="64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服务周期：自项目合同签订之日起至省数字方志馆开发（一期）项目立项批复结束。</w:t>
      </w:r>
    </w:p>
    <w:p>
      <w:pPr>
        <w:spacing w:line="360" w:lineRule="auto"/>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四、服务预算</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若省数字方志馆开发（一期）项目最终获批复，则本服务预算费用以广东省政务服务数据管理局批复的商用密码方案评估服务预算为准。支付方式以双方约定的合同为准。若项目最终未获批复，则省地方志办不支付项目有关的任何费用。</w:t>
      </w:r>
    </w:p>
    <w:p>
      <w:pPr>
        <w:spacing w:line="360" w:lineRule="auto"/>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服务提供商按批复项目商用密码方案评估服务预算的折扣比例报价，折扣的报价范围：0≤折扣＜100%。即若批复金额为M元，最终中标商用密码方案评估服务金额为M乘以折扣数。</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360" w:lineRule="auto"/>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五、评分标准</w:t>
      </w:r>
    </w:p>
    <w:tbl>
      <w:tblPr>
        <w:tblStyle w:val="9"/>
        <w:tblW w:w="851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3"/>
        <w:gridCol w:w="1729"/>
        <w:gridCol w:w="1899"/>
        <w:gridCol w:w="1762"/>
        <w:gridCol w:w="17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1373"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评分项目</w:t>
            </w:r>
          </w:p>
        </w:tc>
        <w:tc>
          <w:tcPr>
            <w:tcW w:w="1729" w:type="dxa"/>
            <w:tcBorders>
              <w:right w:val="single" w:color="auto" w:sz="4" w:space="0"/>
            </w:tcBorders>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技术</w:t>
            </w:r>
          </w:p>
        </w:tc>
        <w:tc>
          <w:tcPr>
            <w:tcW w:w="1899" w:type="dxa"/>
            <w:tcBorders>
              <w:left w:val="single" w:color="auto" w:sz="4" w:space="0"/>
            </w:tcBorders>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商务</w:t>
            </w:r>
          </w:p>
        </w:tc>
        <w:tc>
          <w:tcPr>
            <w:tcW w:w="1762"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价格</w:t>
            </w:r>
          </w:p>
        </w:tc>
        <w:tc>
          <w:tcPr>
            <w:tcW w:w="1752"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1373" w:type="dxa"/>
            <w:vAlign w:val="center"/>
          </w:tcPr>
          <w:p>
            <w:pPr>
              <w:spacing w:before="72" w:after="72" w:line="360" w:lineRule="auto"/>
              <w:jc w:val="center"/>
              <w:rPr>
                <w:rFonts w:ascii="仿宋" w:hAnsi="仿宋" w:eastAsia="仿宋" w:cs="宋体"/>
                <w:sz w:val="28"/>
                <w:szCs w:val="28"/>
              </w:rPr>
            </w:pPr>
            <w:r>
              <w:rPr>
                <w:rFonts w:hint="eastAsia" w:ascii="仿宋" w:hAnsi="仿宋" w:eastAsia="仿宋" w:cs="宋体"/>
                <w:sz w:val="28"/>
                <w:szCs w:val="28"/>
              </w:rPr>
              <w:t>分值</w:t>
            </w:r>
          </w:p>
        </w:tc>
        <w:tc>
          <w:tcPr>
            <w:tcW w:w="1729" w:type="dxa"/>
            <w:tcBorders>
              <w:right w:val="single" w:color="auto" w:sz="4" w:space="0"/>
            </w:tcBorders>
            <w:vAlign w:val="center"/>
          </w:tcPr>
          <w:p>
            <w:pPr>
              <w:spacing w:before="72" w:after="72" w:line="360" w:lineRule="auto"/>
              <w:jc w:val="center"/>
              <w:rPr>
                <w:rFonts w:ascii="仿宋" w:hAnsi="仿宋" w:eastAsia="仿宋" w:cs="宋体"/>
                <w:sz w:val="28"/>
                <w:szCs w:val="28"/>
              </w:rPr>
            </w:pPr>
            <w:r>
              <w:rPr>
                <w:rFonts w:ascii="仿宋" w:hAnsi="仿宋" w:eastAsia="仿宋" w:cs="宋体"/>
                <w:sz w:val="28"/>
                <w:szCs w:val="28"/>
              </w:rPr>
              <w:t>40</w:t>
            </w:r>
            <w:r>
              <w:rPr>
                <w:rFonts w:hint="eastAsia" w:ascii="仿宋" w:hAnsi="仿宋" w:eastAsia="仿宋" w:cs="宋体"/>
                <w:sz w:val="28"/>
                <w:szCs w:val="28"/>
              </w:rPr>
              <w:t>分</w:t>
            </w:r>
          </w:p>
        </w:tc>
        <w:tc>
          <w:tcPr>
            <w:tcW w:w="1899" w:type="dxa"/>
            <w:tcBorders>
              <w:left w:val="single" w:color="auto" w:sz="4" w:space="0"/>
            </w:tcBorders>
            <w:vAlign w:val="center"/>
          </w:tcPr>
          <w:p>
            <w:pPr>
              <w:spacing w:before="72" w:after="72" w:line="360" w:lineRule="auto"/>
              <w:jc w:val="center"/>
              <w:rPr>
                <w:rFonts w:ascii="仿宋" w:hAnsi="仿宋" w:eastAsia="仿宋" w:cs="宋体"/>
                <w:sz w:val="28"/>
                <w:szCs w:val="28"/>
              </w:rPr>
            </w:pPr>
            <w:r>
              <w:rPr>
                <w:rFonts w:ascii="仿宋" w:hAnsi="仿宋" w:eastAsia="仿宋" w:cs="宋体"/>
                <w:sz w:val="28"/>
                <w:szCs w:val="28"/>
              </w:rPr>
              <w:t>50</w:t>
            </w:r>
            <w:r>
              <w:rPr>
                <w:rFonts w:hint="eastAsia" w:ascii="仿宋" w:hAnsi="仿宋" w:eastAsia="仿宋" w:cs="宋体"/>
                <w:sz w:val="28"/>
                <w:szCs w:val="28"/>
              </w:rPr>
              <w:t>分</w:t>
            </w:r>
          </w:p>
        </w:tc>
        <w:tc>
          <w:tcPr>
            <w:tcW w:w="1762" w:type="dxa"/>
            <w:vAlign w:val="center"/>
          </w:tcPr>
          <w:p>
            <w:pPr>
              <w:spacing w:before="72" w:after="72" w:line="360" w:lineRule="auto"/>
              <w:jc w:val="center"/>
              <w:rPr>
                <w:rFonts w:ascii="仿宋" w:hAnsi="仿宋" w:eastAsia="仿宋" w:cs="宋体"/>
                <w:sz w:val="28"/>
                <w:szCs w:val="28"/>
              </w:rPr>
            </w:pPr>
            <w:r>
              <w:rPr>
                <w:rFonts w:ascii="仿宋" w:hAnsi="仿宋" w:eastAsia="仿宋" w:cs="宋体"/>
                <w:sz w:val="28"/>
                <w:szCs w:val="28"/>
              </w:rPr>
              <w:t>10</w:t>
            </w:r>
            <w:r>
              <w:rPr>
                <w:rFonts w:hint="eastAsia" w:ascii="仿宋" w:hAnsi="仿宋" w:eastAsia="仿宋" w:cs="宋体"/>
                <w:sz w:val="28"/>
                <w:szCs w:val="28"/>
              </w:rPr>
              <w:t>分</w:t>
            </w:r>
          </w:p>
        </w:tc>
        <w:tc>
          <w:tcPr>
            <w:tcW w:w="1752" w:type="dxa"/>
            <w:vAlign w:val="center"/>
          </w:tcPr>
          <w:p>
            <w:pPr>
              <w:spacing w:before="72" w:after="72" w:line="360" w:lineRule="auto"/>
              <w:jc w:val="center"/>
              <w:rPr>
                <w:rFonts w:ascii="仿宋" w:hAnsi="仿宋" w:eastAsia="仿宋" w:cs="宋体"/>
                <w:sz w:val="28"/>
                <w:szCs w:val="28"/>
              </w:rPr>
            </w:pPr>
            <w:r>
              <w:rPr>
                <w:rFonts w:hint="eastAsia" w:ascii="仿宋" w:hAnsi="仿宋" w:eastAsia="仿宋" w:cs="宋体"/>
                <w:sz w:val="28"/>
                <w:szCs w:val="28"/>
              </w:rPr>
              <w:t>100分</w:t>
            </w:r>
          </w:p>
        </w:tc>
      </w:tr>
    </w:tbl>
    <w:p>
      <w:pPr>
        <w:tabs>
          <w:tab w:val="left" w:pos="360"/>
          <w:tab w:val="left" w:pos="1030"/>
        </w:tabs>
        <w:spacing w:before="120" w:line="360" w:lineRule="auto"/>
        <w:rPr>
          <w:rFonts w:ascii="宋体" w:hAnsi="宋体" w:cs="宋体"/>
          <w:b/>
          <w:color w:val="FF0000"/>
          <w:sz w:val="24"/>
        </w:rPr>
      </w:pPr>
    </w:p>
    <w:p>
      <w:pPr>
        <w:widowControl/>
        <w:jc w:val="left"/>
        <w:rPr>
          <w:rFonts w:ascii="宋体" w:hAnsi="宋体" w:cs="宋体"/>
          <w:b/>
          <w:color w:val="FF0000"/>
          <w:sz w:val="24"/>
        </w:rPr>
      </w:pPr>
      <w:r>
        <w:rPr>
          <w:rFonts w:ascii="宋体" w:hAnsi="宋体" w:cs="宋体"/>
          <w:b/>
          <w:color w:val="FF0000"/>
          <w:sz w:val="24"/>
        </w:rPr>
        <w:br w:type="page"/>
      </w:r>
    </w:p>
    <w:p>
      <w:pPr>
        <w:tabs>
          <w:tab w:val="left" w:pos="360"/>
          <w:tab w:val="left" w:pos="1030"/>
        </w:tabs>
        <w:spacing w:before="120" w:line="360" w:lineRule="auto"/>
        <w:rPr>
          <w:rFonts w:ascii="宋体" w:hAnsi="宋体" w:cs="宋体"/>
          <w:b/>
          <w:color w:val="FF0000"/>
          <w:sz w:val="24"/>
        </w:rPr>
      </w:pPr>
    </w:p>
    <w:p>
      <w:pPr>
        <w:spacing w:line="360" w:lineRule="auto"/>
        <w:jc w:val="center"/>
        <w:rPr>
          <w:rFonts w:ascii="仿宋" w:hAnsi="仿宋" w:eastAsia="仿宋" w:cs="宋体"/>
          <w:b/>
          <w:bCs/>
          <w:sz w:val="28"/>
          <w:szCs w:val="28"/>
        </w:rPr>
      </w:pPr>
      <w:bookmarkStart w:id="0" w:name="_Toc25878"/>
      <w:bookmarkStart w:id="1" w:name="_Toc17196"/>
      <w:bookmarkStart w:id="2" w:name="_Toc1436"/>
      <w:bookmarkStart w:id="3" w:name="_Toc15377"/>
      <w:r>
        <w:rPr>
          <w:rFonts w:hint="eastAsia" w:ascii="仿宋" w:hAnsi="仿宋" w:eastAsia="仿宋" w:cs="宋体"/>
          <w:b/>
          <w:bCs/>
          <w:sz w:val="28"/>
          <w:szCs w:val="28"/>
        </w:rPr>
        <w:t>技术评审表</w:t>
      </w:r>
      <w:bookmarkEnd w:id="0"/>
      <w:bookmarkEnd w:id="1"/>
      <w:bookmarkEnd w:id="2"/>
      <w:bookmarkEnd w:id="3"/>
    </w:p>
    <w:tbl>
      <w:tblPr>
        <w:tblStyle w:val="9"/>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87"/>
        <w:gridCol w:w="916"/>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E7E6E6"/>
            <w:vAlign w:val="center"/>
          </w:tcPr>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序号</w:t>
            </w:r>
          </w:p>
        </w:tc>
        <w:tc>
          <w:tcPr>
            <w:tcW w:w="1487" w:type="dxa"/>
            <w:tcBorders>
              <w:top w:val="single" w:color="auto" w:sz="4" w:space="0"/>
              <w:left w:val="single" w:color="auto" w:sz="4" w:space="0"/>
              <w:bottom w:val="single" w:color="auto" w:sz="4" w:space="0"/>
              <w:right w:val="single" w:color="auto" w:sz="4" w:space="0"/>
            </w:tcBorders>
            <w:shd w:val="clear" w:color="auto" w:fill="E7E6E6"/>
            <w:vAlign w:val="center"/>
          </w:tcPr>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评分</w:t>
            </w:r>
          </w:p>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内容</w:t>
            </w:r>
          </w:p>
        </w:tc>
        <w:tc>
          <w:tcPr>
            <w:tcW w:w="916" w:type="dxa"/>
            <w:tcBorders>
              <w:top w:val="single" w:color="auto" w:sz="4" w:space="0"/>
              <w:left w:val="single" w:color="auto" w:sz="4" w:space="0"/>
              <w:bottom w:val="single" w:color="auto" w:sz="4" w:space="0"/>
              <w:right w:val="single" w:color="auto" w:sz="4" w:space="0"/>
            </w:tcBorders>
            <w:shd w:val="clear" w:color="auto" w:fill="E7E6E6"/>
            <w:vAlign w:val="center"/>
          </w:tcPr>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最高</w:t>
            </w:r>
          </w:p>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分值</w:t>
            </w:r>
          </w:p>
        </w:tc>
        <w:tc>
          <w:tcPr>
            <w:tcW w:w="5917" w:type="dxa"/>
            <w:tcBorders>
              <w:top w:val="single" w:color="auto" w:sz="4" w:space="0"/>
              <w:left w:val="single" w:color="auto" w:sz="4" w:space="0"/>
              <w:bottom w:val="single" w:color="auto" w:sz="4" w:space="0"/>
              <w:right w:val="single" w:color="auto" w:sz="4" w:space="0"/>
            </w:tcBorders>
            <w:shd w:val="clear" w:color="auto" w:fill="E7E6E6"/>
            <w:vAlign w:val="center"/>
          </w:tcPr>
          <w:p>
            <w:pPr>
              <w:adjustRightInd w:val="0"/>
              <w:spacing w:line="360" w:lineRule="auto"/>
              <w:jc w:val="center"/>
              <w:rPr>
                <w:rFonts w:ascii="仿宋" w:hAnsi="仿宋" w:eastAsia="仿宋"/>
                <w:b/>
                <w:bCs/>
                <w:sz w:val="28"/>
                <w:szCs w:val="28"/>
              </w:rPr>
            </w:pPr>
            <w:r>
              <w:rPr>
                <w:rFonts w:hint="eastAsia" w:ascii="仿宋" w:hAnsi="仿宋" w:eastAsia="仿宋"/>
                <w:b/>
                <w:bC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1</w:t>
            </w:r>
          </w:p>
        </w:tc>
        <w:tc>
          <w:tcPr>
            <w:tcW w:w="148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项目总体方案设计1</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7</w:t>
            </w:r>
          </w:p>
        </w:tc>
        <w:tc>
          <w:tcPr>
            <w:tcW w:w="59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 xml:space="preserve">依据各报价人项目实施方案内容进行比较： </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1、内容全面，测评服务流程清晰，对用户需求理解深入，完全满足并优于采购需求，得7分；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2、对需求基本理解，完全满足采购需求，得4分；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3、有关内容很少，没有针对本项目需求，不能完全满足采购需求，得1分；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2</w:t>
            </w:r>
          </w:p>
        </w:tc>
        <w:tc>
          <w:tcPr>
            <w:tcW w:w="148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项目总体方案设计2</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7</w:t>
            </w:r>
          </w:p>
        </w:tc>
        <w:tc>
          <w:tcPr>
            <w:tcW w:w="59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bCs/>
                <w:sz w:val="28"/>
                <w:szCs w:val="28"/>
              </w:rPr>
            </w:pPr>
            <w:r>
              <w:rPr>
                <w:rFonts w:hint="eastAsia" w:ascii="仿宋" w:hAnsi="仿宋" w:eastAsia="仿宋" w:cs="宋体"/>
                <w:bCs/>
                <w:sz w:val="28"/>
                <w:szCs w:val="28"/>
              </w:rPr>
              <w:t>依据各报价人提交的测试模板、结果报告模板等测试过程文档模板进行评审：</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1、模板内容完整、可操作性强，完全满足并优于采购需求，得7分；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2、模板内容较完整、可操作性较强，完全满足采购需求，得4分；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3、有关内容很少，没有针对本项目需求，不能完全满足采购需求，得1分；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3</w:t>
            </w:r>
          </w:p>
        </w:tc>
        <w:tc>
          <w:tcPr>
            <w:tcW w:w="1487" w:type="dxa"/>
            <w:tcBorders>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项目总体方案设计3</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7</w:t>
            </w:r>
          </w:p>
        </w:tc>
        <w:tc>
          <w:tcPr>
            <w:tcW w:w="59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bCs/>
                <w:sz w:val="28"/>
                <w:szCs w:val="28"/>
              </w:rPr>
            </w:pPr>
            <w:r>
              <w:rPr>
                <w:rFonts w:hint="eastAsia" w:ascii="仿宋" w:hAnsi="仿宋" w:eastAsia="仿宋" w:cs="宋体"/>
                <w:bCs/>
                <w:sz w:val="28"/>
                <w:szCs w:val="28"/>
              </w:rPr>
              <w:t>依据各报价人项目实施方案中进度控制相关内容进行评审：</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1、实施计划进度内容非常详细，安排非常科学合理，完全满足并优于采购需求，得7分；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2、实施计划进度内容较详细，安排较科学合理，完全满足采购需求，得4分；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3、有关内容很少，没有针对本项目需求，不能完全满足采购需求，得1分；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4</w:t>
            </w:r>
          </w:p>
        </w:tc>
        <w:tc>
          <w:tcPr>
            <w:tcW w:w="1487" w:type="dxa"/>
            <w:tcBorders>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安全服务能力</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7</w:t>
            </w:r>
          </w:p>
        </w:tc>
        <w:tc>
          <w:tcPr>
            <w:tcW w:w="59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bCs/>
                <w:sz w:val="28"/>
                <w:szCs w:val="28"/>
              </w:rPr>
            </w:pPr>
            <w:r>
              <w:rPr>
                <w:rFonts w:hint="eastAsia" w:ascii="仿宋" w:hAnsi="仿宋" w:eastAsia="仿宋" w:cs="宋体"/>
                <w:bCs/>
                <w:sz w:val="28"/>
                <w:szCs w:val="28"/>
              </w:rPr>
              <w:t>自2016年起，曾取得了国家信息安全漏洞共享平台（CNVD）或中国国家信息安全漏洞库（CNNVD）原创漏洞证明。</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1.原创漏洞证明超过6个的，得7分；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2.原创漏洞证明4-5个的，得5分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3.原创漏洞证明2-3个的得2分；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4.原创漏洞证明1个的得1分；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5.没有不得分。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提供加盖公章的证书复印件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5</w:t>
            </w:r>
          </w:p>
        </w:tc>
        <w:tc>
          <w:tcPr>
            <w:tcW w:w="1487" w:type="dxa"/>
            <w:tcBorders>
              <w:left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网络安全检测能力</w:t>
            </w:r>
          </w:p>
        </w:tc>
        <w:tc>
          <w:tcPr>
            <w:tcW w:w="9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12</w:t>
            </w:r>
          </w:p>
        </w:tc>
        <w:tc>
          <w:tcPr>
            <w:tcW w:w="59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bCs/>
                <w:sz w:val="28"/>
                <w:szCs w:val="28"/>
              </w:rPr>
            </w:pPr>
            <w:r>
              <w:rPr>
                <w:rFonts w:hint="eastAsia" w:ascii="仿宋" w:hAnsi="仿宋" w:eastAsia="仿宋" w:cs="宋体"/>
                <w:bCs/>
                <w:sz w:val="28"/>
                <w:szCs w:val="28"/>
              </w:rPr>
              <w:t>以下安全测评工具全部具备得12分，每少1项扣2分，没有任何工具则得0分：</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1.长矛深度安全检测系统；</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2.Nessus 及Nexpose 漏扫管理系统工具</w:t>
            </w:r>
          </w:p>
          <w:p>
            <w:pPr>
              <w:widowControl/>
              <w:spacing w:line="360" w:lineRule="auto"/>
              <w:rPr>
                <w:rFonts w:ascii="仿宋" w:hAnsi="仿宋" w:eastAsia="仿宋" w:cs="宋体"/>
                <w:bCs/>
                <w:sz w:val="28"/>
                <w:szCs w:val="28"/>
              </w:rPr>
            </w:pPr>
            <w:r>
              <w:rPr>
                <w:rFonts w:ascii="仿宋" w:hAnsi="仿宋" w:eastAsia="仿宋" w:cs="宋体"/>
                <w:bCs/>
                <w:sz w:val="28"/>
                <w:szCs w:val="28"/>
              </w:rPr>
              <w:t>3.Fortify</w:t>
            </w:r>
          </w:p>
          <w:p>
            <w:pPr>
              <w:widowControl/>
              <w:spacing w:line="360" w:lineRule="auto"/>
              <w:rPr>
                <w:rFonts w:ascii="仿宋" w:hAnsi="仿宋" w:eastAsia="仿宋" w:cs="宋体"/>
                <w:bCs/>
                <w:sz w:val="28"/>
                <w:szCs w:val="28"/>
              </w:rPr>
            </w:pPr>
            <w:r>
              <w:rPr>
                <w:rFonts w:ascii="仿宋" w:hAnsi="仿宋" w:eastAsia="仿宋" w:cs="宋体"/>
                <w:bCs/>
                <w:sz w:val="28"/>
                <w:szCs w:val="28"/>
              </w:rPr>
              <w:t>4.ICSSCAN NX3-S</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5.Canvas（漏洞利用系统）</w:t>
            </w:r>
          </w:p>
          <w:p>
            <w:pPr>
              <w:widowControl/>
              <w:spacing w:line="360" w:lineRule="auto"/>
              <w:rPr>
                <w:rFonts w:ascii="仿宋" w:hAnsi="仿宋" w:eastAsia="仿宋" w:cs="宋体"/>
                <w:bCs/>
                <w:sz w:val="28"/>
                <w:szCs w:val="28"/>
              </w:rPr>
            </w:pPr>
            <w:r>
              <w:rPr>
                <w:rFonts w:ascii="仿宋" w:hAnsi="仿宋" w:eastAsia="仿宋" w:cs="宋体"/>
                <w:bCs/>
                <w:sz w:val="28"/>
                <w:szCs w:val="28"/>
              </w:rPr>
              <w:t>6.Achilles</w:t>
            </w:r>
          </w:p>
          <w:p>
            <w:pPr>
              <w:widowControl/>
              <w:spacing w:line="360" w:lineRule="auto"/>
              <w:rPr>
                <w:rFonts w:ascii="仿宋" w:hAnsi="仿宋" w:eastAsia="仿宋" w:cs="宋体"/>
                <w:bCs/>
                <w:sz w:val="28"/>
                <w:szCs w:val="28"/>
              </w:rPr>
            </w:pPr>
            <w:r>
              <w:rPr>
                <w:rFonts w:hint="eastAsia" w:ascii="仿宋" w:hAnsi="仿宋" w:eastAsia="仿宋" w:cs="宋体"/>
                <w:bCs/>
                <w:sz w:val="28"/>
                <w:szCs w:val="28"/>
              </w:rPr>
              <w:t>需提供安全测评工具加盖公章的采购合同复印件。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09" w:type="dxa"/>
            <w:gridSpan w:val="2"/>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
                <w:bCs/>
                <w:sz w:val="28"/>
                <w:szCs w:val="28"/>
              </w:rPr>
            </w:pPr>
            <w:r>
              <w:rPr>
                <w:rFonts w:hint="eastAsia" w:ascii="仿宋" w:hAnsi="仿宋" w:eastAsia="仿宋" w:cs="宋体"/>
                <w:b/>
                <w:bCs/>
                <w:sz w:val="28"/>
                <w:szCs w:val="28"/>
              </w:rPr>
              <w:t>合计</w:t>
            </w:r>
          </w:p>
        </w:tc>
        <w:tc>
          <w:tcPr>
            <w:tcW w:w="683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
                <w:bCs/>
                <w:sz w:val="28"/>
                <w:szCs w:val="28"/>
              </w:rPr>
            </w:pPr>
            <w:r>
              <w:rPr>
                <w:rFonts w:hint="eastAsia" w:ascii="仿宋" w:hAnsi="仿宋" w:eastAsia="仿宋" w:cs="宋体"/>
                <w:b/>
                <w:bCs/>
                <w:sz w:val="28"/>
                <w:szCs w:val="28"/>
              </w:rPr>
              <w:t>4</w:t>
            </w:r>
            <w:r>
              <w:rPr>
                <w:rFonts w:ascii="仿宋" w:hAnsi="仿宋" w:eastAsia="仿宋" w:cs="宋体"/>
                <w:b/>
                <w:bCs/>
                <w:sz w:val="28"/>
                <w:szCs w:val="28"/>
              </w:rPr>
              <w:t>0分</w:t>
            </w:r>
          </w:p>
        </w:tc>
      </w:tr>
    </w:tbl>
    <w:p>
      <w:pPr>
        <w:pStyle w:val="2"/>
        <w:adjustRightInd w:val="0"/>
        <w:snapToGrid w:val="0"/>
        <w:spacing w:before="0" w:after="0" w:line="360" w:lineRule="auto"/>
        <w:ind w:left="0" w:firstLine="0"/>
        <w:rPr>
          <w:rFonts w:ascii="仿宋" w:hAnsi="仿宋" w:eastAsia="仿宋"/>
          <w:sz w:val="24"/>
          <w:szCs w:val="24"/>
        </w:rPr>
        <w:sectPr>
          <w:pgSz w:w="11906" w:h="16838"/>
          <w:pgMar w:top="2098" w:right="1474" w:bottom="1984" w:left="1587" w:header="851" w:footer="822" w:gutter="0"/>
          <w:cols w:space="720" w:num="1"/>
          <w:docGrid w:linePitch="312" w:charSpace="0"/>
        </w:sectPr>
      </w:pPr>
      <w:bookmarkStart w:id="4" w:name="_Toc3723"/>
      <w:bookmarkStart w:id="5" w:name="_Toc32545"/>
    </w:p>
    <w:p>
      <w:pPr>
        <w:spacing w:line="360" w:lineRule="auto"/>
        <w:jc w:val="center"/>
        <w:rPr>
          <w:rFonts w:ascii="仿宋" w:hAnsi="仿宋" w:eastAsia="仿宋" w:cs="宋体"/>
          <w:b/>
          <w:bCs/>
          <w:sz w:val="28"/>
          <w:szCs w:val="28"/>
        </w:rPr>
      </w:pPr>
      <w:bookmarkStart w:id="6" w:name="_Toc24921"/>
      <w:bookmarkStart w:id="7" w:name="_Toc25433"/>
      <w:r>
        <w:rPr>
          <w:rFonts w:hint="eastAsia" w:ascii="仿宋" w:hAnsi="仿宋" w:eastAsia="仿宋" w:cs="宋体"/>
          <w:b/>
          <w:bCs/>
          <w:sz w:val="28"/>
          <w:szCs w:val="28"/>
        </w:rPr>
        <w:t>商务评审表</w:t>
      </w:r>
      <w:bookmarkEnd w:id="4"/>
      <w:bookmarkEnd w:id="5"/>
      <w:bookmarkEnd w:id="6"/>
      <w:bookmarkEnd w:id="7"/>
    </w:p>
    <w:tbl>
      <w:tblPr>
        <w:tblStyle w:val="9"/>
        <w:tblW w:w="5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355"/>
        <w:gridCol w:w="873"/>
        <w:gridCol w:w="6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79"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序号</w:t>
            </w:r>
          </w:p>
        </w:tc>
        <w:tc>
          <w:tcPr>
            <w:tcW w:w="1355"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评分内容</w:t>
            </w:r>
          </w:p>
        </w:tc>
        <w:tc>
          <w:tcPr>
            <w:tcW w:w="873"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最高</w:t>
            </w:r>
          </w:p>
          <w:p>
            <w:pPr>
              <w:spacing w:line="360" w:lineRule="auto"/>
              <w:jc w:val="center"/>
              <w:rPr>
                <w:rFonts w:ascii="仿宋" w:hAnsi="仿宋" w:eastAsia="仿宋"/>
                <w:b/>
                <w:bCs/>
                <w:sz w:val="28"/>
                <w:szCs w:val="28"/>
              </w:rPr>
            </w:pPr>
            <w:r>
              <w:rPr>
                <w:rFonts w:hint="eastAsia" w:ascii="仿宋" w:hAnsi="仿宋" w:eastAsia="仿宋"/>
                <w:b/>
                <w:bCs/>
                <w:sz w:val="28"/>
                <w:szCs w:val="28"/>
              </w:rPr>
              <w:t>分值</w:t>
            </w:r>
          </w:p>
        </w:tc>
        <w:tc>
          <w:tcPr>
            <w:tcW w:w="6116"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tcBorders>
              <w:left w:val="single" w:color="auto" w:sz="4" w:space="0"/>
              <w:right w:val="single" w:color="auto" w:sz="4" w:space="0"/>
            </w:tcBorders>
            <w:vAlign w:val="center"/>
          </w:tcPr>
          <w:p>
            <w:pPr>
              <w:spacing w:line="360" w:lineRule="auto"/>
              <w:jc w:val="center"/>
              <w:rPr>
                <w:rFonts w:ascii="仿宋" w:hAnsi="仿宋" w:eastAsia="仿宋"/>
                <w:sz w:val="28"/>
                <w:szCs w:val="28"/>
              </w:rPr>
            </w:pPr>
            <w:r>
              <w:rPr>
                <w:rFonts w:ascii="仿宋" w:hAnsi="仿宋" w:eastAsia="仿宋"/>
                <w:sz w:val="28"/>
                <w:szCs w:val="28"/>
              </w:rPr>
              <w:t>1</w:t>
            </w:r>
          </w:p>
        </w:tc>
        <w:tc>
          <w:tcPr>
            <w:tcW w:w="1355"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资质实力</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16</w:t>
            </w:r>
          </w:p>
        </w:tc>
        <w:tc>
          <w:tcPr>
            <w:tcW w:w="6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报价人具有以下资质，每项得4分，全部满足得16分，没有不得分。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1.</w:t>
            </w:r>
            <w:r>
              <w:rPr>
                <w:rFonts w:hint="eastAsia"/>
              </w:rPr>
              <w:t xml:space="preserve"> </w:t>
            </w:r>
            <w:r>
              <w:rPr>
                <w:rFonts w:hint="eastAsia" w:ascii="仿宋" w:hAnsi="仿宋" w:eastAsia="仿宋" w:cs="宋体"/>
                <w:bCs/>
                <w:sz w:val="28"/>
                <w:szCs w:val="28"/>
              </w:rPr>
              <w:t>具有商用密码应用安全性测评机构资质。（以密码管理部门发文为准）；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2.</w:t>
            </w:r>
            <w:r>
              <w:rPr>
                <w:rFonts w:hint="eastAsia"/>
              </w:rPr>
              <w:t xml:space="preserve"> </w:t>
            </w:r>
            <w:r>
              <w:rPr>
                <w:rFonts w:hint="eastAsia" w:ascii="仿宋" w:hAnsi="仿宋" w:eastAsia="仿宋" w:cs="宋体"/>
                <w:bCs/>
                <w:sz w:val="28"/>
                <w:szCs w:val="28"/>
              </w:rPr>
              <w:t>中国合格评定国家认可委员会颁发的CNAS 检验机构认可证书；（认可范围包括信息系统安全等级保护基本要求）；</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3.中国合格评定国家认可委员会颁发的CNAS 实验室认可证书（认可范围包括信息系统安全通用技术要求 数据安全部分）；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4.承担网络关键设备和网络安全专用产品安全认证和安全检测任务机构（以国家认监委、工业和信息化部、公安部、国家互联网信息办公室联合发文公告为准）。</w:t>
            </w:r>
          </w:p>
          <w:p>
            <w:pPr>
              <w:pStyle w:val="14"/>
              <w:spacing w:line="360" w:lineRule="auto"/>
              <w:rPr>
                <w:rFonts w:ascii="仿宋" w:hAnsi="仿宋" w:eastAsia="仿宋"/>
                <w:sz w:val="28"/>
                <w:szCs w:val="28"/>
              </w:rPr>
            </w:pPr>
            <w:r>
              <w:rPr>
                <w:rFonts w:hint="eastAsia" w:ascii="仿宋" w:hAnsi="仿宋" w:eastAsia="仿宋" w:cs="宋体"/>
                <w:bCs/>
                <w:sz w:val="28"/>
                <w:szCs w:val="28"/>
              </w:rPr>
              <w:t>（以上证明材料须在有效期内，提供各项证明材料的复印件并加盖公章，否则不得分）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79" w:type="dxa"/>
            <w:tcBorders>
              <w:left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2</w:t>
            </w:r>
          </w:p>
        </w:tc>
        <w:tc>
          <w:tcPr>
            <w:tcW w:w="1355" w:type="dxa"/>
            <w:tcBorders>
              <w:left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支撑能力</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6</w:t>
            </w:r>
          </w:p>
        </w:tc>
        <w:tc>
          <w:tcPr>
            <w:tcW w:w="6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具有省级或部级（电子信息类、工业软件类）重点实验室，每个得</w:t>
            </w:r>
            <w:r>
              <w:rPr>
                <w:rFonts w:ascii="仿宋" w:hAnsi="仿宋" w:eastAsia="仿宋" w:cs="宋体"/>
                <w:bCs/>
                <w:sz w:val="28"/>
                <w:szCs w:val="28"/>
              </w:rPr>
              <w:t>3</w:t>
            </w:r>
            <w:r>
              <w:rPr>
                <w:rFonts w:hint="eastAsia" w:ascii="仿宋" w:hAnsi="仿宋" w:eastAsia="仿宋" w:cs="宋体"/>
                <w:bCs/>
                <w:sz w:val="28"/>
                <w:szCs w:val="28"/>
              </w:rPr>
              <w:t>分，最高得</w:t>
            </w:r>
            <w:r>
              <w:rPr>
                <w:rFonts w:ascii="仿宋" w:hAnsi="仿宋" w:eastAsia="仿宋" w:cs="宋体"/>
                <w:bCs/>
                <w:sz w:val="28"/>
                <w:szCs w:val="28"/>
              </w:rPr>
              <w:t>6</w:t>
            </w:r>
            <w:r>
              <w:rPr>
                <w:rFonts w:hint="eastAsia" w:ascii="仿宋" w:hAnsi="仿宋" w:eastAsia="仿宋" w:cs="宋体"/>
                <w:bCs/>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15"/>
              <w:ind w:firstLine="0" w:firstLineChars="0"/>
              <w:jc w:val="center"/>
              <w:rPr>
                <w:rFonts w:ascii="仿宋" w:hAnsi="仿宋" w:eastAsia="仿宋"/>
                <w:sz w:val="28"/>
                <w:szCs w:val="28"/>
              </w:rPr>
            </w:pPr>
            <w:r>
              <w:rPr>
                <w:rFonts w:ascii="仿宋" w:hAnsi="仿宋" w:eastAsia="仿宋"/>
                <w:sz w:val="28"/>
                <w:szCs w:val="28"/>
              </w:rPr>
              <w:t>3</w:t>
            </w:r>
          </w:p>
        </w:tc>
        <w:tc>
          <w:tcPr>
            <w:tcW w:w="13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项目负责人</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12</w:t>
            </w:r>
          </w:p>
        </w:tc>
        <w:tc>
          <w:tcPr>
            <w:tcW w:w="6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报价人本项目的项目经理具备以下全部资质得12 分，少一项扣3分，扣完为止。</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1.具有高级工程师职称，提供资质证书复印件；</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2.具有公安部信息安全等级保护评估中心颁发的信息安全等级保护高级测评师资质，提供资质证书复印件；</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3.具有国家密码管理局商用密码检测中心颁发的商用密码应用安全性评估人员测评能力证书；（分数在60分以上）</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4.具有工业和信息化部软件与集成电路促进中心颁发的网络安全高级工程师证书。</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需提供项目经理在本公司任职的相关证明材料（如：加盖政府有关部门印章的，202</w:t>
            </w:r>
            <w:r>
              <w:rPr>
                <w:rFonts w:ascii="仿宋" w:hAnsi="仿宋" w:eastAsia="仿宋" w:cs="宋体"/>
                <w:bCs/>
                <w:sz w:val="28"/>
                <w:szCs w:val="28"/>
              </w:rPr>
              <w:t>2</w:t>
            </w:r>
            <w:r>
              <w:rPr>
                <w:rFonts w:hint="eastAsia" w:ascii="仿宋" w:hAnsi="仿宋" w:eastAsia="仿宋" w:cs="宋体"/>
                <w:bCs/>
                <w:sz w:val="28"/>
                <w:szCs w:val="28"/>
              </w:rPr>
              <w:t>年以来任意一个月以内的《投保单》或《社会保险参保人员证明》，或单位代缴个人所得税税单等复印件，否则不得分。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15"/>
              <w:ind w:firstLine="0" w:firstLineChars="0"/>
              <w:jc w:val="center"/>
              <w:rPr>
                <w:rFonts w:ascii="仿宋" w:hAnsi="仿宋" w:eastAsia="仿宋"/>
                <w:sz w:val="28"/>
                <w:szCs w:val="28"/>
              </w:rPr>
            </w:pPr>
            <w:r>
              <w:rPr>
                <w:rFonts w:ascii="仿宋" w:hAnsi="仿宋" w:eastAsia="仿宋"/>
                <w:sz w:val="28"/>
                <w:szCs w:val="28"/>
              </w:rPr>
              <w:t>4</w:t>
            </w:r>
          </w:p>
        </w:tc>
        <w:tc>
          <w:tcPr>
            <w:tcW w:w="13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bCs/>
                <w:sz w:val="28"/>
                <w:szCs w:val="28"/>
              </w:rPr>
              <w:t>项目团队（项目负责人除外）</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6</w:t>
            </w:r>
          </w:p>
        </w:tc>
        <w:tc>
          <w:tcPr>
            <w:tcW w:w="61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技术人员具有国家密码管理局商用密码检测中心的商用密码应用安全性评估人员测评能力证书（分数在60分以上），每具有一个得1分，最高不超过</w:t>
            </w:r>
            <w:r>
              <w:rPr>
                <w:rFonts w:ascii="仿宋" w:hAnsi="仿宋" w:eastAsia="仿宋" w:cs="宋体"/>
                <w:bCs/>
                <w:sz w:val="28"/>
                <w:szCs w:val="28"/>
              </w:rPr>
              <w:t>6</w:t>
            </w:r>
            <w:r>
              <w:rPr>
                <w:rFonts w:hint="eastAsia" w:ascii="仿宋" w:hAnsi="仿宋" w:eastAsia="仿宋" w:cs="宋体"/>
                <w:bCs/>
                <w:sz w:val="28"/>
                <w:szCs w:val="28"/>
              </w:rPr>
              <w:t>分。</w:t>
            </w:r>
          </w:p>
          <w:p>
            <w:pPr>
              <w:autoSpaceDE w:val="0"/>
              <w:autoSpaceDN w:val="0"/>
              <w:adjustRightInd w:val="0"/>
              <w:spacing w:line="360" w:lineRule="auto"/>
              <w:jc w:val="left"/>
              <w:rPr>
                <w:rFonts w:ascii="仿宋" w:hAnsi="仿宋" w:eastAsia="仿宋" w:cs="宋体"/>
                <w:bCs/>
                <w:sz w:val="28"/>
                <w:szCs w:val="28"/>
              </w:rPr>
            </w:pPr>
            <w:r>
              <w:rPr>
                <w:rFonts w:hint="eastAsia" w:ascii="仿宋" w:hAnsi="仿宋" w:eastAsia="仿宋" w:cs="宋体"/>
                <w:bCs/>
                <w:sz w:val="28"/>
                <w:szCs w:val="28"/>
              </w:rPr>
              <w:t>需提供技术人员在本公司任职的相关证明材料（如：加盖政府有关部门印章的，2022年以来任意一个月以内的《投保单》或《社会保险参保人员证明》，或单位代缴个人所得税税单等复印件，否则不得分。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pStyle w:val="15"/>
              <w:ind w:firstLine="0" w:firstLineChars="0"/>
              <w:jc w:val="center"/>
              <w:rPr>
                <w:rFonts w:ascii="仿宋" w:hAnsi="仿宋" w:eastAsia="仿宋"/>
                <w:sz w:val="28"/>
                <w:szCs w:val="28"/>
              </w:rPr>
            </w:pPr>
            <w:r>
              <w:rPr>
                <w:rFonts w:ascii="仿宋" w:hAnsi="仿宋" w:eastAsia="仿宋"/>
                <w:sz w:val="28"/>
                <w:szCs w:val="28"/>
              </w:rPr>
              <w:t>5</w:t>
            </w:r>
          </w:p>
        </w:tc>
        <w:tc>
          <w:tcPr>
            <w:tcW w:w="13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hint="eastAsia" w:ascii="仿宋" w:hAnsi="仿宋" w:eastAsia="仿宋" w:cs="宋体"/>
                <w:sz w:val="28"/>
                <w:szCs w:val="28"/>
              </w:rPr>
              <w:t>同类项目业绩</w:t>
            </w:r>
          </w:p>
        </w:tc>
        <w:tc>
          <w:tcPr>
            <w:tcW w:w="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Cs/>
                <w:sz w:val="28"/>
                <w:szCs w:val="28"/>
              </w:rPr>
            </w:pPr>
            <w:r>
              <w:rPr>
                <w:rFonts w:ascii="仿宋" w:hAnsi="仿宋" w:eastAsia="仿宋" w:cs="宋体"/>
                <w:bCs/>
                <w:sz w:val="28"/>
                <w:szCs w:val="28"/>
              </w:rPr>
              <w:t>10</w:t>
            </w:r>
          </w:p>
        </w:tc>
        <w:tc>
          <w:tcPr>
            <w:tcW w:w="61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宋体"/>
                <w:bCs/>
                <w:sz w:val="28"/>
                <w:szCs w:val="28"/>
              </w:rPr>
            </w:pPr>
            <w:r>
              <w:rPr>
                <w:rFonts w:hint="eastAsia" w:ascii="仿宋" w:hAnsi="仿宋" w:eastAsia="仿宋" w:cs="宋体"/>
                <w:bCs/>
                <w:sz w:val="28"/>
                <w:szCs w:val="28"/>
              </w:rPr>
              <w:t>20</w:t>
            </w:r>
            <w:r>
              <w:rPr>
                <w:rFonts w:ascii="仿宋" w:hAnsi="仿宋" w:eastAsia="仿宋" w:cs="宋体"/>
                <w:bCs/>
                <w:sz w:val="28"/>
                <w:szCs w:val="28"/>
              </w:rPr>
              <w:t>19</w:t>
            </w:r>
            <w:r>
              <w:rPr>
                <w:rFonts w:hint="eastAsia" w:ascii="仿宋" w:hAnsi="仿宋" w:eastAsia="仿宋" w:cs="宋体"/>
                <w:bCs/>
                <w:sz w:val="28"/>
                <w:szCs w:val="28"/>
              </w:rPr>
              <w:t>年1月1日至今承接过类似项目业绩的，每项得</w:t>
            </w:r>
            <w:r>
              <w:rPr>
                <w:rFonts w:ascii="仿宋" w:hAnsi="仿宋" w:eastAsia="仿宋" w:cs="宋体"/>
                <w:bCs/>
                <w:sz w:val="28"/>
                <w:szCs w:val="28"/>
              </w:rPr>
              <w:t>2</w:t>
            </w:r>
            <w:r>
              <w:rPr>
                <w:rFonts w:hint="eastAsia" w:ascii="仿宋" w:hAnsi="仿宋" w:eastAsia="仿宋" w:cs="宋体"/>
                <w:bCs/>
                <w:sz w:val="28"/>
                <w:szCs w:val="28"/>
              </w:rPr>
              <w:t>分。本项最多得</w:t>
            </w:r>
            <w:r>
              <w:rPr>
                <w:rFonts w:ascii="仿宋" w:hAnsi="仿宋" w:eastAsia="仿宋" w:cs="宋体"/>
                <w:bCs/>
                <w:sz w:val="28"/>
                <w:szCs w:val="28"/>
              </w:rPr>
              <w:t>10</w:t>
            </w:r>
            <w:r>
              <w:rPr>
                <w:rFonts w:hint="eastAsia" w:ascii="仿宋" w:hAnsi="仿宋" w:eastAsia="仿宋" w:cs="宋体"/>
                <w:bCs/>
                <w:sz w:val="28"/>
                <w:szCs w:val="28"/>
              </w:rPr>
              <w:t>分。</w:t>
            </w:r>
          </w:p>
          <w:p>
            <w:pPr>
              <w:spacing w:line="360" w:lineRule="auto"/>
              <w:jc w:val="left"/>
              <w:rPr>
                <w:rFonts w:ascii="仿宋" w:hAnsi="仿宋" w:eastAsia="仿宋" w:cs="宋体"/>
                <w:bCs/>
                <w:sz w:val="28"/>
                <w:szCs w:val="28"/>
              </w:rPr>
            </w:pPr>
            <w:r>
              <w:rPr>
                <w:rFonts w:hint="eastAsia" w:ascii="仿宋" w:hAnsi="仿宋" w:eastAsia="仿宋" w:cs="宋体"/>
                <w:bCs/>
                <w:sz w:val="28"/>
                <w:szCs w:val="28"/>
              </w:rPr>
              <w:t>注：时间以合同签订时间为准。须提供合同封面、关键页、落款盖章页复印件，并加盖公章。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3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 w:hAnsi="仿宋" w:eastAsia="仿宋" w:cs="宋体"/>
                <w:b/>
                <w:sz w:val="28"/>
                <w:szCs w:val="28"/>
              </w:rPr>
            </w:pPr>
            <w:r>
              <w:rPr>
                <w:rFonts w:hint="eastAsia" w:ascii="仿宋" w:hAnsi="仿宋" w:eastAsia="仿宋" w:cs="宋体"/>
                <w:b/>
                <w:sz w:val="28"/>
                <w:szCs w:val="28"/>
              </w:rPr>
              <w:t>合计</w:t>
            </w:r>
          </w:p>
        </w:tc>
        <w:tc>
          <w:tcPr>
            <w:tcW w:w="69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bCs/>
                <w:sz w:val="28"/>
                <w:szCs w:val="28"/>
              </w:rPr>
            </w:pPr>
            <w:r>
              <w:rPr>
                <w:rFonts w:ascii="仿宋" w:hAnsi="仿宋" w:eastAsia="仿宋" w:cs="宋体"/>
                <w:b/>
                <w:bCs/>
                <w:sz w:val="28"/>
                <w:szCs w:val="28"/>
              </w:rPr>
              <w:t>50分</w:t>
            </w:r>
          </w:p>
        </w:tc>
      </w:tr>
    </w:tbl>
    <w:p>
      <w:pPr>
        <w:spacing w:line="360" w:lineRule="auto"/>
        <w:rPr>
          <w:rFonts w:ascii="方正小标宋简体" w:hAnsi="方正小标宋简体" w:eastAsia="方正小标宋简体" w:cs="方正小标宋简体"/>
          <w:sz w:val="44"/>
          <w:szCs w:val="44"/>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01777"/>
    <w:multiLevelType w:val="multilevel"/>
    <w:tmpl w:val="6BF0177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2"/>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06B94"/>
    <w:rsid w:val="00012FFE"/>
    <w:rsid w:val="0004248B"/>
    <w:rsid w:val="0005776A"/>
    <w:rsid w:val="000C1E92"/>
    <w:rsid w:val="000D00F6"/>
    <w:rsid w:val="000D51BB"/>
    <w:rsid w:val="000E53CC"/>
    <w:rsid w:val="001A4D8A"/>
    <w:rsid w:val="001A6E3C"/>
    <w:rsid w:val="001C0832"/>
    <w:rsid w:val="001E5E40"/>
    <w:rsid w:val="00200550"/>
    <w:rsid w:val="0021277F"/>
    <w:rsid w:val="00236C52"/>
    <w:rsid w:val="00257F14"/>
    <w:rsid w:val="0027312E"/>
    <w:rsid w:val="00294DEB"/>
    <w:rsid w:val="002A259C"/>
    <w:rsid w:val="002E07A9"/>
    <w:rsid w:val="002E6597"/>
    <w:rsid w:val="00325B11"/>
    <w:rsid w:val="00327F4B"/>
    <w:rsid w:val="00331E5E"/>
    <w:rsid w:val="00350E9C"/>
    <w:rsid w:val="00353A8D"/>
    <w:rsid w:val="00353C81"/>
    <w:rsid w:val="003D0469"/>
    <w:rsid w:val="003F35FF"/>
    <w:rsid w:val="00412EE2"/>
    <w:rsid w:val="004262FD"/>
    <w:rsid w:val="00426EDA"/>
    <w:rsid w:val="00432563"/>
    <w:rsid w:val="00446BAD"/>
    <w:rsid w:val="0045335C"/>
    <w:rsid w:val="0046188A"/>
    <w:rsid w:val="00462D7A"/>
    <w:rsid w:val="00481359"/>
    <w:rsid w:val="004E1DB4"/>
    <w:rsid w:val="00511150"/>
    <w:rsid w:val="005138E5"/>
    <w:rsid w:val="00514D17"/>
    <w:rsid w:val="00520300"/>
    <w:rsid w:val="00535E20"/>
    <w:rsid w:val="00594AA1"/>
    <w:rsid w:val="005D37A2"/>
    <w:rsid w:val="005D3F11"/>
    <w:rsid w:val="00641305"/>
    <w:rsid w:val="00647441"/>
    <w:rsid w:val="00655915"/>
    <w:rsid w:val="0066182A"/>
    <w:rsid w:val="00673D90"/>
    <w:rsid w:val="006837F9"/>
    <w:rsid w:val="00694BAF"/>
    <w:rsid w:val="006A15D4"/>
    <w:rsid w:val="006A47FE"/>
    <w:rsid w:val="006C5C55"/>
    <w:rsid w:val="00710ECC"/>
    <w:rsid w:val="00777673"/>
    <w:rsid w:val="007E2DC3"/>
    <w:rsid w:val="007F2A5F"/>
    <w:rsid w:val="008176CF"/>
    <w:rsid w:val="00823238"/>
    <w:rsid w:val="0086078A"/>
    <w:rsid w:val="00872157"/>
    <w:rsid w:val="008D0860"/>
    <w:rsid w:val="008F379A"/>
    <w:rsid w:val="00904895"/>
    <w:rsid w:val="00931541"/>
    <w:rsid w:val="00937646"/>
    <w:rsid w:val="0095181E"/>
    <w:rsid w:val="009645F7"/>
    <w:rsid w:val="00981B95"/>
    <w:rsid w:val="0099340E"/>
    <w:rsid w:val="00995FFC"/>
    <w:rsid w:val="009976CE"/>
    <w:rsid w:val="00A00C98"/>
    <w:rsid w:val="00A020D7"/>
    <w:rsid w:val="00A15CA6"/>
    <w:rsid w:val="00A60AEA"/>
    <w:rsid w:val="00A7783A"/>
    <w:rsid w:val="00AA05FF"/>
    <w:rsid w:val="00AA2406"/>
    <w:rsid w:val="00AA3398"/>
    <w:rsid w:val="00AA352A"/>
    <w:rsid w:val="00AC5285"/>
    <w:rsid w:val="00AD4573"/>
    <w:rsid w:val="00B073B1"/>
    <w:rsid w:val="00B10400"/>
    <w:rsid w:val="00BB6B71"/>
    <w:rsid w:val="00BC12E8"/>
    <w:rsid w:val="00CA144E"/>
    <w:rsid w:val="00CA5082"/>
    <w:rsid w:val="00CA61CF"/>
    <w:rsid w:val="00CC1FAB"/>
    <w:rsid w:val="00CD0228"/>
    <w:rsid w:val="00CD1754"/>
    <w:rsid w:val="00CD3BA2"/>
    <w:rsid w:val="00CE0657"/>
    <w:rsid w:val="00D04839"/>
    <w:rsid w:val="00D26FA1"/>
    <w:rsid w:val="00D4222E"/>
    <w:rsid w:val="00D65B80"/>
    <w:rsid w:val="00D86697"/>
    <w:rsid w:val="00DC62EE"/>
    <w:rsid w:val="00DD5891"/>
    <w:rsid w:val="00DE51E5"/>
    <w:rsid w:val="00DF7EF6"/>
    <w:rsid w:val="00E05C6D"/>
    <w:rsid w:val="00E211BB"/>
    <w:rsid w:val="00E530C2"/>
    <w:rsid w:val="00EA1AFD"/>
    <w:rsid w:val="00EA363C"/>
    <w:rsid w:val="00EB0E9B"/>
    <w:rsid w:val="00ED48E7"/>
    <w:rsid w:val="00EE04BB"/>
    <w:rsid w:val="00F2149D"/>
    <w:rsid w:val="00F2732B"/>
    <w:rsid w:val="00F36A30"/>
    <w:rsid w:val="00F530BF"/>
    <w:rsid w:val="00F80255"/>
    <w:rsid w:val="00FA1266"/>
    <w:rsid w:val="00FA5C9B"/>
    <w:rsid w:val="00FD0026"/>
    <w:rsid w:val="00FE2809"/>
    <w:rsid w:val="01CB77D7"/>
    <w:rsid w:val="03016B55"/>
    <w:rsid w:val="03163855"/>
    <w:rsid w:val="035612C4"/>
    <w:rsid w:val="03FC7B1D"/>
    <w:rsid w:val="04036826"/>
    <w:rsid w:val="05821C43"/>
    <w:rsid w:val="05BC651A"/>
    <w:rsid w:val="06312F54"/>
    <w:rsid w:val="075B6684"/>
    <w:rsid w:val="078D2CAB"/>
    <w:rsid w:val="081611C9"/>
    <w:rsid w:val="0A0A5CAB"/>
    <w:rsid w:val="0A385689"/>
    <w:rsid w:val="0A84577F"/>
    <w:rsid w:val="0B3E0FB4"/>
    <w:rsid w:val="0DEE5676"/>
    <w:rsid w:val="0F020E60"/>
    <w:rsid w:val="0FE96FEB"/>
    <w:rsid w:val="10C405ED"/>
    <w:rsid w:val="116651B0"/>
    <w:rsid w:val="11760F5D"/>
    <w:rsid w:val="11E63565"/>
    <w:rsid w:val="13AA3493"/>
    <w:rsid w:val="14344D72"/>
    <w:rsid w:val="148E56F0"/>
    <w:rsid w:val="14BD5AE6"/>
    <w:rsid w:val="14CA47F7"/>
    <w:rsid w:val="1541214F"/>
    <w:rsid w:val="16136429"/>
    <w:rsid w:val="16D71B36"/>
    <w:rsid w:val="179C412D"/>
    <w:rsid w:val="17D7198E"/>
    <w:rsid w:val="19E00F7D"/>
    <w:rsid w:val="1A0243D9"/>
    <w:rsid w:val="1A3F3D88"/>
    <w:rsid w:val="1B7273BF"/>
    <w:rsid w:val="1C196B94"/>
    <w:rsid w:val="1C590B45"/>
    <w:rsid w:val="1D104B3A"/>
    <w:rsid w:val="1D185121"/>
    <w:rsid w:val="1E633C98"/>
    <w:rsid w:val="1F0735AE"/>
    <w:rsid w:val="21363C2A"/>
    <w:rsid w:val="22E97154"/>
    <w:rsid w:val="251623C1"/>
    <w:rsid w:val="25F45BC1"/>
    <w:rsid w:val="26620973"/>
    <w:rsid w:val="28705D94"/>
    <w:rsid w:val="287C4AD2"/>
    <w:rsid w:val="29A22B8A"/>
    <w:rsid w:val="29F63243"/>
    <w:rsid w:val="2A0E2740"/>
    <w:rsid w:val="2A380A8B"/>
    <w:rsid w:val="2B095414"/>
    <w:rsid w:val="2B5D2827"/>
    <w:rsid w:val="2C2449C1"/>
    <w:rsid w:val="2D751E85"/>
    <w:rsid w:val="2E006B94"/>
    <w:rsid w:val="310F2A35"/>
    <w:rsid w:val="31197223"/>
    <w:rsid w:val="31E72EE1"/>
    <w:rsid w:val="3254021E"/>
    <w:rsid w:val="32BC412A"/>
    <w:rsid w:val="338F2221"/>
    <w:rsid w:val="390A6111"/>
    <w:rsid w:val="3A9A5F9C"/>
    <w:rsid w:val="3B6A0C52"/>
    <w:rsid w:val="3ED40B37"/>
    <w:rsid w:val="3FF05622"/>
    <w:rsid w:val="42591481"/>
    <w:rsid w:val="427E4AF3"/>
    <w:rsid w:val="42EB5C6C"/>
    <w:rsid w:val="42FF0398"/>
    <w:rsid w:val="433322B8"/>
    <w:rsid w:val="453011C9"/>
    <w:rsid w:val="46AA50D5"/>
    <w:rsid w:val="470679C0"/>
    <w:rsid w:val="471844C7"/>
    <w:rsid w:val="47F42876"/>
    <w:rsid w:val="480F5972"/>
    <w:rsid w:val="493155BC"/>
    <w:rsid w:val="49AC5AD4"/>
    <w:rsid w:val="4C2B48F5"/>
    <w:rsid w:val="4C7702CE"/>
    <w:rsid w:val="4D5D0F2A"/>
    <w:rsid w:val="4E340E4A"/>
    <w:rsid w:val="4EAC56E5"/>
    <w:rsid w:val="4F2413B1"/>
    <w:rsid w:val="4FCB7C22"/>
    <w:rsid w:val="50847494"/>
    <w:rsid w:val="50F76BF0"/>
    <w:rsid w:val="523C119F"/>
    <w:rsid w:val="544222F4"/>
    <w:rsid w:val="54605BF3"/>
    <w:rsid w:val="563A1504"/>
    <w:rsid w:val="566C6F7A"/>
    <w:rsid w:val="569B5222"/>
    <w:rsid w:val="584B0311"/>
    <w:rsid w:val="58F82CA2"/>
    <w:rsid w:val="59D16F1D"/>
    <w:rsid w:val="5A0E6A3A"/>
    <w:rsid w:val="5B5C163D"/>
    <w:rsid w:val="5C810D59"/>
    <w:rsid w:val="5D785DFC"/>
    <w:rsid w:val="5DD21F0A"/>
    <w:rsid w:val="5EF64800"/>
    <w:rsid w:val="5F111F7B"/>
    <w:rsid w:val="5F75181C"/>
    <w:rsid w:val="60FD0B8B"/>
    <w:rsid w:val="61CB1088"/>
    <w:rsid w:val="61E77305"/>
    <w:rsid w:val="62216F00"/>
    <w:rsid w:val="63BE36B1"/>
    <w:rsid w:val="65737692"/>
    <w:rsid w:val="65CA237B"/>
    <w:rsid w:val="69EE4833"/>
    <w:rsid w:val="6A0937A8"/>
    <w:rsid w:val="6B1E4CBD"/>
    <w:rsid w:val="6BF620ED"/>
    <w:rsid w:val="6C71273A"/>
    <w:rsid w:val="6E6F26A8"/>
    <w:rsid w:val="6EE766FD"/>
    <w:rsid w:val="6FBC02AF"/>
    <w:rsid w:val="6FD24771"/>
    <w:rsid w:val="71CC271E"/>
    <w:rsid w:val="724E75CC"/>
    <w:rsid w:val="729D20C9"/>
    <w:rsid w:val="73347787"/>
    <w:rsid w:val="754B21C3"/>
    <w:rsid w:val="77403494"/>
    <w:rsid w:val="77AE0675"/>
    <w:rsid w:val="77C119FE"/>
    <w:rsid w:val="781650FA"/>
    <w:rsid w:val="792E765E"/>
    <w:rsid w:val="79B4593A"/>
    <w:rsid w:val="7AF31380"/>
    <w:rsid w:val="7B64779E"/>
    <w:rsid w:val="7C5B3AF9"/>
    <w:rsid w:val="7C954E17"/>
    <w:rsid w:val="7D444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before="260" w:after="260" w:line="416" w:lineRule="auto"/>
      <w:outlineLvl w:val="2"/>
    </w:pPr>
    <w:rPr>
      <w:rFonts w:ascii="Calibri" w:hAnsi="Calibri" w:cs="黑体"/>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Balloon Text"/>
    <w:basedOn w:val="1"/>
    <w:link w:val="20"/>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semiHidden/>
    <w:unhideWhenUsed/>
    <w:qFormat/>
    <w:uiPriority w:val="99"/>
    <w:pPr>
      <w:spacing w:after="120"/>
      <w:ind w:left="420" w:leftChars="200"/>
    </w:pPr>
    <w:rPr>
      <w:sz w:val="16"/>
      <w:szCs w:val="16"/>
    </w:rPr>
  </w:style>
  <w:style w:type="paragraph" w:styleId="8">
    <w:name w:val="annotation subject"/>
    <w:basedOn w:val="3"/>
    <w:next w:val="3"/>
    <w:link w:val="22"/>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000FF"/>
      <w:u w:val="single"/>
    </w:rPr>
  </w:style>
  <w:style w:type="character" w:styleId="13">
    <w:name w:val="annotation reference"/>
    <w:basedOn w:val="11"/>
    <w:qFormat/>
    <w:uiPriority w:val="0"/>
    <w:rPr>
      <w:sz w:val="21"/>
      <w:szCs w:val="21"/>
    </w:rPr>
  </w:style>
  <w:style w:type="paragraph" w:customStyle="1" w:styleId="14">
    <w:name w:val="_Style 3"/>
    <w:next w:val="7"/>
    <w:qFormat/>
    <w:uiPriority w:val="34"/>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列表段落1"/>
    <w:basedOn w:val="1"/>
    <w:qFormat/>
    <w:uiPriority w:val="1"/>
    <w:pPr>
      <w:spacing w:line="360" w:lineRule="auto"/>
      <w:ind w:firstLine="420" w:firstLineChars="200"/>
    </w:pPr>
    <w:rPr>
      <w:rFonts w:ascii="Calibri" w:hAnsi="Calibri"/>
      <w:sz w:val="24"/>
    </w:rPr>
  </w:style>
  <w:style w:type="character" w:customStyle="1" w:styleId="16">
    <w:name w:val="页眉 字符"/>
    <w:basedOn w:val="11"/>
    <w:link w:val="6"/>
    <w:qFormat/>
    <w:uiPriority w:val="0"/>
    <w:rPr>
      <w:kern w:val="2"/>
      <w:sz w:val="18"/>
      <w:szCs w:val="18"/>
    </w:rPr>
  </w:style>
  <w:style w:type="character" w:customStyle="1" w:styleId="17">
    <w:name w:val="页脚 字符"/>
    <w:basedOn w:val="11"/>
    <w:link w:val="5"/>
    <w:qFormat/>
    <w:uiPriority w:val="0"/>
    <w:rPr>
      <w:kern w:val="2"/>
      <w:sz w:val="18"/>
      <w:szCs w:val="18"/>
    </w:rPr>
  </w:style>
  <w:style w:type="paragraph" w:styleId="18">
    <w:name w:val="List Paragraph"/>
    <w:basedOn w:val="1"/>
    <w:qFormat/>
    <w:uiPriority w:val="34"/>
    <w:pPr>
      <w:ind w:firstLine="420" w:firstLineChars="200"/>
    </w:pPr>
    <w:rPr>
      <w:rFonts w:ascii="等线" w:hAnsi="等线" w:eastAsia="等线" w:cs="宋体"/>
      <w:szCs w:val="22"/>
    </w:rPr>
  </w:style>
  <w:style w:type="character" w:customStyle="1" w:styleId="19">
    <w:name w:val="[正文不缩] Char Char"/>
    <w:qFormat/>
    <w:uiPriority w:val="0"/>
    <w:rPr>
      <w:rFonts w:hint="default" w:ascii="Tahoma" w:hAnsi="Tahoma" w:cs="Tahoma"/>
      <w:spacing w:val="4"/>
      <w:sz w:val="24"/>
      <w:szCs w:val="24"/>
    </w:rPr>
  </w:style>
  <w:style w:type="character" w:customStyle="1" w:styleId="20">
    <w:name w:val="批注框文本 字符"/>
    <w:basedOn w:val="11"/>
    <w:link w:val="4"/>
    <w:qFormat/>
    <w:uiPriority w:val="0"/>
    <w:rPr>
      <w:kern w:val="2"/>
      <w:sz w:val="18"/>
      <w:szCs w:val="18"/>
    </w:rPr>
  </w:style>
  <w:style w:type="character" w:customStyle="1" w:styleId="21">
    <w:name w:val="批注文字 字符"/>
    <w:basedOn w:val="11"/>
    <w:link w:val="3"/>
    <w:qFormat/>
    <w:uiPriority w:val="0"/>
    <w:rPr>
      <w:kern w:val="2"/>
      <w:sz w:val="21"/>
      <w:szCs w:val="24"/>
    </w:rPr>
  </w:style>
  <w:style w:type="character" w:customStyle="1" w:styleId="22">
    <w:name w:val="批注主题 字符"/>
    <w:basedOn w:val="21"/>
    <w:link w:val="8"/>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省人民政府地方志办公室</Company>
  <Pages>10</Pages>
  <Words>473</Words>
  <Characters>2700</Characters>
  <Lines>22</Lines>
  <Paragraphs>6</Paragraphs>
  <TotalTime>11</TotalTime>
  <ScaleCrop>false</ScaleCrop>
  <LinksUpToDate>false</LinksUpToDate>
  <CharactersWithSpaces>3167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2021-10-25T00:51:00Z</dcterms:created>
  <dc:creator>冯伟</dc:creator>
  <cp:lastModifiedBy>冯伟</cp:lastModifiedBy>
  <cp:lastPrinted>2021-11-23T01:28:00Z</cp:lastPrinted>
  <dcterms:modified xsi:type="dcterms:W3CDTF">2022-03-18T01:52:25Z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