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省数字方志馆开发（一期）项目</w:t>
      </w:r>
    </w:p>
    <w:p>
      <w:pPr>
        <w:spacing w:line="360" w:lineRule="auto"/>
        <w:jc w:val="center"/>
        <w:rPr>
          <w:rFonts w:ascii="方正小标宋简体" w:hAnsi="方正小标宋简体" w:eastAsia="方正小标宋简体" w:cs="方正小标宋简体"/>
          <w:b/>
          <w:sz w:val="36"/>
          <w:szCs w:val="36"/>
        </w:rPr>
      </w:pPr>
      <w:r>
        <w:rPr>
          <w:rFonts w:hint="eastAsia" w:ascii="仿宋_GB2312" w:hAnsi="仿宋_GB2312" w:eastAsia="仿宋_GB2312" w:cs="仿宋_GB2312"/>
          <w:b/>
          <w:sz w:val="36"/>
          <w:szCs w:val="36"/>
        </w:rPr>
        <w:t>商用密码方案编制服务需求</w:t>
      </w: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一、项目概述</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省数字方志馆开发（一期）项目（暂定名，最终以省政数局审批通过的项目名称为准）拟确定1家</w:t>
      </w:r>
      <w:r>
        <w:rPr>
          <w:rFonts w:hint="eastAsia" w:ascii="仿宋_GB2312" w:hAnsi="仿宋_GB2312" w:eastAsia="仿宋_GB2312" w:cs="仿宋_GB2312"/>
          <w:sz w:val="32"/>
          <w:szCs w:val="32"/>
          <w:lang w:eastAsia="zh-CN"/>
        </w:rPr>
        <w:t>商用</w:t>
      </w:r>
      <w:bookmarkStart w:id="0" w:name="_GoBack"/>
      <w:bookmarkEnd w:id="0"/>
      <w:r>
        <w:rPr>
          <w:rFonts w:hint="eastAsia" w:ascii="仿宋_GB2312" w:hAnsi="仿宋_GB2312" w:eastAsia="仿宋_GB2312" w:cs="仿宋_GB2312"/>
          <w:sz w:val="32"/>
          <w:szCs w:val="32"/>
        </w:rPr>
        <w:t>密码应用方案编制服务供应商（咨询方），为该项目提供信息系统密码应用方案编制服务。</w:t>
      </w: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 xml:space="preserve">二、服务要求   </w:t>
      </w:r>
    </w:p>
    <w:p>
      <w:pPr>
        <w:spacing w:line="360" w:lineRule="auto"/>
        <w:ind w:firstLine="640" w:firstLineChars="200"/>
        <w:rPr>
          <w:rFonts w:ascii="楷体" w:hAnsi="楷体" w:eastAsia="楷体" w:cs="楷体"/>
          <w:sz w:val="32"/>
          <w:szCs w:val="32"/>
        </w:rPr>
      </w:pPr>
      <w:r>
        <w:rPr>
          <w:rFonts w:hint="eastAsia" w:ascii="楷体" w:hAnsi="楷体" w:eastAsia="楷体" w:cs="楷体"/>
          <w:sz w:val="32"/>
          <w:szCs w:val="32"/>
        </w:rPr>
        <w:t>（一）密码方案编制要求</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按照国家标准GB/T 39786-2021《信息安全技术 信息系统密码应用基本要求》，编制商用密码应用模板以及各信息系统密码应用建设方案（包含密码应用解决方案、实施方案、应急处置方案）。方案要求如下：</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1.符合GB/T 39786-2021《信息安全技术 信息系统密码应用基本要求》的相关要求；</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2.符合商用密码应用建设方案模板要求（包含密码应用解决方案、实施方案、应急处置方案）：</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整体设计要求：咨询方应从技术体系、物理部署、逻辑功能、性能等方面进行整体密码应用的设计。并针对在物理和环境、网络和通信、设备和计算、应用和数据等多个层面进行安全设计。</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详细设计要求：咨询方应从包括密码子系统所需产品、密码协议、密码应用工作流程、密钥管理等等。并配套相应的管理体系设计和运维体系设计。</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3.咨询方必须承诺方案能通过商用密码测评机构对商用密码应用建设方案的评估，并取得《商用密码应用方案评估报告》。</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方案要求：根据相关要求，需提供信息系统商用密码应用建设方案，含密码应用解决方案、实施方案、应急处置方案。其中密码应用解决方案从每个系统的物理和环境安全、网络和通信安全、设备和计算安全、应用和数据安全4个方面进行密码应用需求分析，并根据需求和项目实际情况设计相对应的密码应用技术方案，以满足系统相关的商用密码应用要求。</w:t>
      </w:r>
    </w:p>
    <w:p>
      <w:pPr>
        <w:spacing w:line="360" w:lineRule="auto"/>
        <w:ind w:firstLine="640" w:firstLineChars="200"/>
        <w:rPr>
          <w:rFonts w:ascii="楷体" w:hAnsi="楷体" w:eastAsia="楷体" w:cs="楷体"/>
          <w:sz w:val="32"/>
          <w:szCs w:val="32"/>
        </w:rPr>
      </w:pPr>
      <w:r>
        <w:rPr>
          <w:rFonts w:hint="eastAsia" w:ascii="楷体" w:hAnsi="楷体" w:eastAsia="楷体" w:cs="楷体"/>
          <w:sz w:val="32"/>
          <w:szCs w:val="32"/>
        </w:rPr>
        <w:t>(二)其他配合事项</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1.配合密码应用方案评估机构开展《商用密码应用方案》评估工作 ，对评估机构提出的方案修改要求及时响应；</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2。配合立项方案编制咨询机构的项目推进时间管理要求，按时按质完成密码应用建设方案编制工作。</w:t>
      </w: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三、提交成果</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提供省数字方志馆开发（一期）项目密码应用解决方案、实施方案、应急处置方案等项目立项所需相关方案。</w:t>
      </w: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四、服务期限</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服务期为服务范围内系统密码应用方案编制完成至密评机构出具评估报告，省密码管理局审批通过止。</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合同（协议）签订2个月内完成调研和密码应用方案编制工作，具体各环节工作需配合采购人的时间要求。</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服务响应可通过现场、远程等方式提供，由此产生的一切费用均由咨询方承担。</w:t>
      </w:r>
    </w:p>
    <w:p>
      <w:pPr>
        <w:spacing w:line="360" w:lineRule="auto"/>
        <w:ind w:firstLine="640" w:firstLineChars="200"/>
        <w:outlineLvl w:val="0"/>
        <w:rPr>
          <w:rFonts w:ascii="黑体" w:hAnsi="黑体" w:eastAsia="黑体" w:cs="黑体"/>
          <w:bCs/>
          <w:sz w:val="32"/>
          <w:szCs w:val="32"/>
        </w:rPr>
      </w:pPr>
      <w:r>
        <w:rPr>
          <w:rFonts w:hint="eastAsia" w:ascii="黑体" w:hAnsi="黑体" w:eastAsia="黑体" w:cs="黑体"/>
          <w:bCs/>
          <w:sz w:val="32"/>
          <w:szCs w:val="32"/>
        </w:rPr>
        <w:t>五、服务预算</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服务前期所产生的相关费用由服务提供方承担。若省数字方志馆开发（一期）项目最终获批复，则本服务预算费用以广东省政务服务数据管理局批复的商用密码方案编制服务预算为准。支付方式以双方约定的合同为准。若项目最终未获批复，则省地方志办不支付项目有关的任何费用。</w:t>
      </w:r>
    </w:p>
    <w:p>
      <w:pPr>
        <w:spacing w:line="360" w:lineRule="auto"/>
        <w:ind w:firstLine="640"/>
        <w:rPr>
          <w:rFonts w:ascii="仿宋_GB2312" w:hAnsi="仿宋_GB2312" w:eastAsia="仿宋_GB2312" w:cs="仿宋_GB2312"/>
          <w:b/>
          <w:bCs/>
          <w:sz w:val="32"/>
          <w:szCs w:val="32"/>
        </w:rPr>
      </w:pPr>
      <w:r>
        <w:rPr>
          <w:rFonts w:hint="eastAsia" w:ascii="仿宋_GB2312" w:hAnsi="仿宋_GB2312" w:eastAsia="仿宋_GB2312" w:cs="仿宋_GB2312"/>
          <w:sz w:val="32"/>
          <w:szCs w:val="32"/>
        </w:rPr>
        <w:t>服务提供商按批复项目商用密码方案编制服务预算的折扣比例报价，折扣的报价范围：0≤折扣＜100%。即若批复金额为M元，最终中标商用密码方案编制服务金额为M乘以折扣数。</w:t>
      </w:r>
    </w:p>
    <w:p>
      <w:pPr>
        <w:spacing w:line="360" w:lineRule="auto"/>
        <w:ind w:firstLine="640" w:firstLineChars="200"/>
        <w:outlineLvl w:val="0"/>
        <w:rPr>
          <w:rFonts w:ascii="黑体" w:hAnsi="黑体" w:eastAsia="黑体" w:cs="黑体"/>
          <w:bCs/>
          <w:sz w:val="32"/>
          <w:szCs w:val="32"/>
        </w:rPr>
      </w:pPr>
      <w:r>
        <w:rPr>
          <w:rFonts w:hint="eastAsia" w:ascii="黑体" w:hAnsi="黑体" w:eastAsia="黑体" w:cs="黑体"/>
          <w:bCs/>
          <w:sz w:val="32"/>
          <w:szCs w:val="32"/>
        </w:rPr>
        <w:t>六、评分标准</w:t>
      </w:r>
    </w:p>
    <w:tbl>
      <w:tblPr>
        <w:tblStyle w:val="8"/>
        <w:tblW w:w="851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73"/>
        <w:gridCol w:w="1729"/>
        <w:gridCol w:w="1899"/>
        <w:gridCol w:w="1762"/>
        <w:gridCol w:w="175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1373" w:type="dxa"/>
            <w:shd w:val="clear" w:color="auto" w:fill="E7E6E6"/>
            <w:vAlign w:val="center"/>
          </w:tcPr>
          <w:p>
            <w:pPr>
              <w:spacing w:before="72" w:after="72" w:line="360" w:lineRule="auto"/>
              <w:jc w:val="center"/>
              <w:rPr>
                <w:rFonts w:ascii="仿宋" w:hAnsi="仿宋" w:eastAsia="仿宋" w:cs="宋体"/>
                <w:b/>
                <w:bCs/>
                <w:sz w:val="28"/>
                <w:szCs w:val="28"/>
              </w:rPr>
            </w:pPr>
            <w:r>
              <w:rPr>
                <w:rFonts w:hint="eastAsia" w:ascii="仿宋" w:hAnsi="仿宋" w:eastAsia="仿宋" w:cs="宋体"/>
                <w:b/>
                <w:bCs/>
                <w:sz w:val="28"/>
                <w:szCs w:val="28"/>
              </w:rPr>
              <w:t>评分项目</w:t>
            </w:r>
          </w:p>
        </w:tc>
        <w:tc>
          <w:tcPr>
            <w:tcW w:w="1729" w:type="dxa"/>
            <w:tcBorders>
              <w:right w:val="single" w:color="auto" w:sz="4" w:space="0"/>
            </w:tcBorders>
            <w:shd w:val="clear" w:color="auto" w:fill="E7E6E6"/>
            <w:vAlign w:val="center"/>
          </w:tcPr>
          <w:p>
            <w:pPr>
              <w:spacing w:before="72" w:after="72" w:line="360" w:lineRule="auto"/>
              <w:jc w:val="center"/>
              <w:rPr>
                <w:rFonts w:ascii="仿宋" w:hAnsi="仿宋" w:eastAsia="仿宋" w:cs="宋体"/>
                <w:b/>
                <w:bCs/>
                <w:sz w:val="28"/>
                <w:szCs w:val="28"/>
              </w:rPr>
            </w:pPr>
            <w:r>
              <w:rPr>
                <w:rFonts w:hint="eastAsia" w:ascii="仿宋" w:hAnsi="仿宋" w:eastAsia="仿宋" w:cs="宋体"/>
                <w:b/>
                <w:bCs/>
                <w:sz w:val="28"/>
                <w:szCs w:val="28"/>
              </w:rPr>
              <w:t>技术</w:t>
            </w:r>
          </w:p>
        </w:tc>
        <w:tc>
          <w:tcPr>
            <w:tcW w:w="1899" w:type="dxa"/>
            <w:tcBorders>
              <w:left w:val="single" w:color="auto" w:sz="4" w:space="0"/>
            </w:tcBorders>
            <w:shd w:val="clear" w:color="auto" w:fill="E7E6E6"/>
            <w:vAlign w:val="center"/>
          </w:tcPr>
          <w:p>
            <w:pPr>
              <w:spacing w:before="72" w:after="72" w:line="360" w:lineRule="auto"/>
              <w:jc w:val="center"/>
              <w:rPr>
                <w:rFonts w:ascii="仿宋" w:hAnsi="仿宋" w:eastAsia="仿宋" w:cs="宋体"/>
                <w:b/>
                <w:bCs/>
                <w:sz w:val="28"/>
                <w:szCs w:val="28"/>
              </w:rPr>
            </w:pPr>
            <w:r>
              <w:rPr>
                <w:rFonts w:hint="eastAsia" w:ascii="仿宋" w:hAnsi="仿宋" w:eastAsia="仿宋" w:cs="宋体"/>
                <w:b/>
                <w:bCs/>
                <w:sz w:val="28"/>
                <w:szCs w:val="28"/>
              </w:rPr>
              <w:t>商务</w:t>
            </w:r>
          </w:p>
        </w:tc>
        <w:tc>
          <w:tcPr>
            <w:tcW w:w="1762" w:type="dxa"/>
            <w:shd w:val="clear" w:color="auto" w:fill="E7E6E6"/>
            <w:vAlign w:val="center"/>
          </w:tcPr>
          <w:p>
            <w:pPr>
              <w:spacing w:before="72" w:after="72" w:line="360" w:lineRule="auto"/>
              <w:jc w:val="center"/>
              <w:rPr>
                <w:rFonts w:ascii="仿宋" w:hAnsi="仿宋" w:eastAsia="仿宋" w:cs="宋体"/>
                <w:b/>
                <w:bCs/>
                <w:sz w:val="28"/>
                <w:szCs w:val="28"/>
              </w:rPr>
            </w:pPr>
            <w:r>
              <w:rPr>
                <w:rFonts w:hint="eastAsia" w:ascii="仿宋" w:hAnsi="仿宋" w:eastAsia="仿宋" w:cs="宋体"/>
                <w:b/>
                <w:bCs/>
                <w:sz w:val="28"/>
                <w:szCs w:val="28"/>
              </w:rPr>
              <w:t>价格</w:t>
            </w:r>
          </w:p>
        </w:tc>
        <w:tc>
          <w:tcPr>
            <w:tcW w:w="1752" w:type="dxa"/>
            <w:shd w:val="clear" w:color="auto" w:fill="E7E6E6"/>
            <w:vAlign w:val="center"/>
          </w:tcPr>
          <w:p>
            <w:pPr>
              <w:spacing w:before="72" w:after="72" w:line="360" w:lineRule="auto"/>
              <w:jc w:val="center"/>
              <w:rPr>
                <w:rFonts w:ascii="仿宋" w:hAnsi="仿宋" w:eastAsia="仿宋" w:cs="宋体"/>
                <w:b/>
                <w:bCs/>
                <w:sz w:val="28"/>
                <w:szCs w:val="28"/>
              </w:rPr>
            </w:pPr>
            <w:r>
              <w:rPr>
                <w:rFonts w:hint="eastAsia" w:ascii="仿宋" w:hAnsi="仿宋" w:eastAsia="仿宋" w:cs="宋体"/>
                <w:b/>
                <w:bCs/>
                <w:sz w:val="28"/>
                <w:szCs w:val="28"/>
              </w:rPr>
              <w:t>合计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1373" w:type="dxa"/>
            <w:vAlign w:val="center"/>
          </w:tcPr>
          <w:p>
            <w:pPr>
              <w:spacing w:before="72" w:after="72" w:line="360" w:lineRule="auto"/>
              <w:jc w:val="center"/>
              <w:rPr>
                <w:rFonts w:ascii="仿宋" w:hAnsi="仿宋" w:eastAsia="仿宋" w:cs="宋体"/>
                <w:sz w:val="28"/>
                <w:szCs w:val="28"/>
              </w:rPr>
            </w:pPr>
            <w:r>
              <w:rPr>
                <w:rFonts w:hint="eastAsia" w:ascii="仿宋" w:hAnsi="仿宋" w:eastAsia="仿宋" w:cs="宋体"/>
                <w:sz w:val="28"/>
                <w:szCs w:val="28"/>
              </w:rPr>
              <w:t>分值</w:t>
            </w:r>
          </w:p>
        </w:tc>
        <w:tc>
          <w:tcPr>
            <w:tcW w:w="1729" w:type="dxa"/>
            <w:tcBorders>
              <w:right w:val="single" w:color="auto" w:sz="4" w:space="0"/>
            </w:tcBorders>
            <w:vAlign w:val="center"/>
          </w:tcPr>
          <w:p>
            <w:pPr>
              <w:spacing w:before="72" w:after="72" w:line="360" w:lineRule="auto"/>
              <w:jc w:val="center"/>
              <w:rPr>
                <w:rFonts w:ascii="仿宋" w:hAnsi="仿宋" w:eastAsia="仿宋" w:cs="宋体"/>
                <w:sz w:val="28"/>
                <w:szCs w:val="28"/>
              </w:rPr>
            </w:pPr>
            <w:r>
              <w:rPr>
                <w:rFonts w:hint="eastAsia" w:ascii="仿宋" w:hAnsi="仿宋" w:eastAsia="仿宋" w:cs="宋体"/>
                <w:sz w:val="28"/>
                <w:szCs w:val="28"/>
              </w:rPr>
              <w:t>4</w:t>
            </w:r>
            <w:r>
              <w:rPr>
                <w:rFonts w:ascii="仿宋" w:hAnsi="仿宋" w:eastAsia="仿宋" w:cs="宋体"/>
                <w:sz w:val="28"/>
                <w:szCs w:val="28"/>
              </w:rPr>
              <w:t>5</w:t>
            </w:r>
            <w:r>
              <w:rPr>
                <w:rFonts w:hint="eastAsia" w:ascii="仿宋" w:hAnsi="仿宋" w:eastAsia="仿宋" w:cs="宋体"/>
                <w:sz w:val="28"/>
                <w:szCs w:val="28"/>
              </w:rPr>
              <w:t>分</w:t>
            </w:r>
          </w:p>
        </w:tc>
        <w:tc>
          <w:tcPr>
            <w:tcW w:w="1899" w:type="dxa"/>
            <w:tcBorders>
              <w:left w:val="single" w:color="auto" w:sz="4" w:space="0"/>
            </w:tcBorders>
            <w:vAlign w:val="center"/>
          </w:tcPr>
          <w:p>
            <w:pPr>
              <w:spacing w:before="72" w:after="72" w:line="360" w:lineRule="auto"/>
              <w:jc w:val="center"/>
              <w:rPr>
                <w:rFonts w:ascii="仿宋" w:hAnsi="仿宋" w:eastAsia="仿宋" w:cs="宋体"/>
                <w:sz w:val="28"/>
                <w:szCs w:val="28"/>
              </w:rPr>
            </w:pPr>
            <w:r>
              <w:rPr>
                <w:rFonts w:hint="eastAsia" w:ascii="仿宋" w:hAnsi="仿宋" w:eastAsia="仿宋" w:cs="宋体"/>
                <w:sz w:val="28"/>
                <w:szCs w:val="28"/>
              </w:rPr>
              <w:t>4</w:t>
            </w:r>
            <w:r>
              <w:rPr>
                <w:rFonts w:ascii="仿宋" w:hAnsi="仿宋" w:eastAsia="仿宋" w:cs="宋体"/>
                <w:sz w:val="28"/>
                <w:szCs w:val="28"/>
              </w:rPr>
              <w:t>5</w:t>
            </w:r>
            <w:r>
              <w:rPr>
                <w:rFonts w:hint="eastAsia" w:ascii="仿宋" w:hAnsi="仿宋" w:eastAsia="仿宋" w:cs="宋体"/>
                <w:sz w:val="28"/>
                <w:szCs w:val="28"/>
              </w:rPr>
              <w:t>分</w:t>
            </w:r>
          </w:p>
        </w:tc>
        <w:tc>
          <w:tcPr>
            <w:tcW w:w="1762" w:type="dxa"/>
            <w:vAlign w:val="center"/>
          </w:tcPr>
          <w:p>
            <w:pPr>
              <w:spacing w:before="72" w:after="72" w:line="360" w:lineRule="auto"/>
              <w:jc w:val="center"/>
              <w:rPr>
                <w:rFonts w:ascii="仿宋" w:hAnsi="仿宋" w:eastAsia="仿宋" w:cs="宋体"/>
                <w:sz w:val="28"/>
                <w:szCs w:val="28"/>
              </w:rPr>
            </w:pPr>
            <w:r>
              <w:rPr>
                <w:rFonts w:ascii="仿宋" w:hAnsi="仿宋" w:eastAsia="仿宋" w:cs="宋体"/>
                <w:sz w:val="28"/>
                <w:szCs w:val="28"/>
              </w:rPr>
              <w:t>10</w:t>
            </w:r>
            <w:r>
              <w:rPr>
                <w:rFonts w:hint="eastAsia" w:ascii="仿宋" w:hAnsi="仿宋" w:eastAsia="仿宋" w:cs="宋体"/>
                <w:sz w:val="28"/>
                <w:szCs w:val="28"/>
              </w:rPr>
              <w:t>分</w:t>
            </w:r>
          </w:p>
        </w:tc>
        <w:tc>
          <w:tcPr>
            <w:tcW w:w="1752" w:type="dxa"/>
            <w:vAlign w:val="center"/>
          </w:tcPr>
          <w:p>
            <w:pPr>
              <w:spacing w:before="72" w:after="72" w:line="360" w:lineRule="auto"/>
              <w:jc w:val="center"/>
              <w:rPr>
                <w:rFonts w:ascii="仿宋" w:hAnsi="仿宋" w:eastAsia="仿宋" w:cs="宋体"/>
                <w:sz w:val="28"/>
                <w:szCs w:val="28"/>
              </w:rPr>
            </w:pPr>
            <w:r>
              <w:rPr>
                <w:rFonts w:hint="eastAsia" w:ascii="仿宋" w:hAnsi="仿宋" w:eastAsia="仿宋" w:cs="宋体"/>
                <w:sz w:val="28"/>
                <w:szCs w:val="28"/>
              </w:rPr>
              <w:t>100分</w:t>
            </w:r>
          </w:p>
        </w:tc>
      </w:tr>
    </w:tbl>
    <w:p>
      <w:pPr>
        <w:tabs>
          <w:tab w:val="left" w:pos="360"/>
          <w:tab w:val="left" w:pos="1030"/>
        </w:tabs>
        <w:spacing w:before="120" w:line="360" w:lineRule="auto"/>
        <w:rPr>
          <w:rFonts w:ascii="宋体" w:hAnsi="宋体" w:cs="宋体"/>
          <w:b/>
          <w:color w:val="FF0000"/>
          <w:sz w:val="24"/>
        </w:rPr>
      </w:pPr>
    </w:p>
    <w:p>
      <w:pPr>
        <w:widowControl/>
        <w:jc w:val="left"/>
      </w:pPr>
    </w:p>
    <w:p>
      <w:pPr>
        <w:widowControl/>
        <w:jc w:val="left"/>
      </w:pPr>
    </w:p>
    <w:p>
      <w:pPr>
        <w:widowControl/>
        <w:jc w:val="left"/>
      </w:pPr>
    </w:p>
    <w:p>
      <w:pPr>
        <w:widowControl/>
        <w:jc w:val="left"/>
      </w:pPr>
    </w:p>
    <w:p>
      <w:pPr>
        <w:widowControl/>
        <w:jc w:val="left"/>
      </w:pPr>
    </w:p>
    <w:p>
      <w:pPr>
        <w:widowControl/>
        <w:jc w:val="left"/>
        <w:rPr>
          <w:b/>
        </w:rPr>
      </w:pPr>
      <w:r>
        <w:rPr>
          <w:rFonts w:hint="eastAsia"/>
          <w:b/>
        </w:rPr>
        <w:t>技术评分（4</w:t>
      </w:r>
      <w:r>
        <w:rPr>
          <w:b/>
        </w:rPr>
        <w:t>5</w:t>
      </w:r>
      <w:r>
        <w:rPr>
          <w:rFonts w:hint="eastAsia"/>
          <w:b/>
        </w:rPr>
        <w:t>分）</w:t>
      </w:r>
    </w:p>
    <w:p>
      <w:pPr>
        <w:widowControl/>
        <w:jc w:val="left"/>
      </w:pPr>
    </w:p>
    <w:tbl>
      <w:tblPr>
        <w:tblStyle w:val="8"/>
        <w:tblW w:w="868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780"/>
        <w:gridCol w:w="1180"/>
        <w:gridCol w:w="5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40" w:type="dxa"/>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780" w:type="dxa"/>
            <w:shd w:val="clear" w:color="auto" w:fill="auto"/>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分值</w:t>
            </w:r>
          </w:p>
        </w:tc>
        <w:tc>
          <w:tcPr>
            <w:tcW w:w="1180" w:type="dxa"/>
            <w:shd w:val="clear" w:color="auto" w:fill="auto"/>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评审内容</w:t>
            </w:r>
          </w:p>
        </w:tc>
        <w:tc>
          <w:tcPr>
            <w:tcW w:w="5980" w:type="dxa"/>
            <w:shd w:val="clear" w:color="auto" w:fill="auto"/>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trPr>
        <w:tc>
          <w:tcPr>
            <w:tcW w:w="740" w:type="dxa"/>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780" w:type="dxa"/>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w:t>
            </w:r>
          </w:p>
        </w:tc>
        <w:tc>
          <w:tcPr>
            <w:tcW w:w="1180" w:type="dxa"/>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总体实施方案</w:t>
            </w:r>
          </w:p>
        </w:tc>
        <w:tc>
          <w:tcPr>
            <w:tcW w:w="5980"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根据供应商提供的总体实施方案（包括但不限于熟悉政策、法规情况，工作流程、经验总结，违约责任等）进行评审：① 供应商熟悉咨询工作政策、法规；有制定专门完成政府有关部门委托咨询项目的工作流程；能对政府有关部门委托工作经验进行总结，能分析自身工作的不足；能保证承担有关违约责任，得10分；②供应商对咨询工作政策、法规不够深刻；虽能制定专门完成政府有关部门委托咨询项目的工作流程但后续总结能力不强；能保证承担有关违约责任，得5分； ③供应商对咨询工作政策、法规不够深刻；虽能制定专门完成政府有关部门委托咨询项目的工作流程但后续总结能力一般；基本能保证承担有关违约责任，得3分；④供应商对咨询工作政策、法规一知半解；不熟悉政府有关部门委托咨询项目的工作流程，总结能力有限，得1分；⑤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5" w:hRule="atLeast"/>
        </w:trPr>
        <w:tc>
          <w:tcPr>
            <w:tcW w:w="740" w:type="dxa"/>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780" w:type="dxa"/>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w:t>
            </w:r>
          </w:p>
        </w:tc>
        <w:tc>
          <w:tcPr>
            <w:tcW w:w="1180" w:type="dxa"/>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企业规章制度</w:t>
            </w:r>
          </w:p>
        </w:tc>
        <w:tc>
          <w:tcPr>
            <w:tcW w:w="5980"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根据供应商提供的企业规章制度（包括但不限于企业规章制度、咨询业务体系等方案）进行评审：①供应商规章制度健全和完善，咨询业务体系完善、具体、合理的，得5分；②供应商规章制度比较具体详尽的，得3分；③供应商规章制度简略不充分的，得1分；④未提供对应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85" w:hRule="atLeast"/>
        </w:trPr>
        <w:tc>
          <w:tcPr>
            <w:tcW w:w="740" w:type="dxa"/>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w:t>
            </w:r>
          </w:p>
        </w:tc>
        <w:tc>
          <w:tcPr>
            <w:tcW w:w="780" w:type="dxa"/>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w:t>
            </w:r>
          </w:p>
        </w:tc>
        <w:tc>
          <w:tcPr>
            <w:tcW w:w="1180" w:type="dxa"/>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服务实施的资源支持</w:t>
            </w:r>
          </w:p>
        </w:tc>
        <w:tc>
          <w:tcPr>
            <w:tcW w:w="5980"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根据供应商提供的服务实施的资源支持方案进行评审：①供应商对咨询服务实施的资源支持充分有效，覆盖范围广，实施力度强，得10分；②供应商对咨询服务实施的资源支持程度比较充分、覆盖范围较广，作用发挥比较明显，得5分；③供应商对咨询服务实施的资源支持程度发挥作用比较充分，覆盖面不均衡，得3分；④供应商对咨询服务实施仅能提供基础的的资源支持，得1分；⑤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40" w:hRule="atLeast"/>
        </w:trPr>
        <w:tc>
          <w:tcPr>
            <w:tcW w:w="740" w:type="dxa"/>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w:t>
            </w:r>
          </w:p>
        </w:tc>
        <w:tc>
          <w:tcPr>
            <w:tcW w:w="780" w:type="dxa"/>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w:t>
            </w:r>
          </w:p>
        </w:tc>
        <w:tc>
          <w:tcPr>
            <w:tcW w:w="1180" w:type="dxa"/>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进度保证措施</w:t>
            </w:r>
          </w:p>
        </w:tc>
        <w:tc>
          <w:tcPr>
            <w:tcW w:w="5980"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根据供应商提供的进度保证措施(包括但不限于进度保证，承诺目标，控制措施)方案进行评审：①进度安排合理、进度保障措施及承诺目标明确，预控和动态控制措施得力，实施方法可行，手段科学，得10分；②进度安排较合理、进度保障措施及承诺目标较明确，预控和动态控制措施较合理，实施方法较合理，得5分；③进度安排一般、进度保障措施及承诺目标一般，预控和动态控制措施一般，实施方法一般，得3分；④进度保障较差，综合评价一般的，得1分；⑤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0" w:hRule="atLeast"/>
        </w:trPr>
        <w:tc>
          <w:tcPr>
            <w:tcW w:w="740" w:type="dxa"/>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w:t>
            </w:r>
          </w:p>
        </w:tc>
        <w:tc>
          <w:tcPr>
            <w:tcW w:w="780" w:type="dxa"/>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w:t>
            </w:r>
          </w:p>
        </w:tc>
        <w:tc>
          <w:tcPr>
            <w:tcW w:w="1180" w:type="dxa"/>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质量保证措施</w:t>
            </w:r>
          </w:p>
        </w:tc>
        <w:tc>
          <w:tcPr>
            <w:tcW w:w="5980"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根据供应商提供的质量保证措施(包括但不限于人力、物力等资源保证，质量控制措施，审核制度、违约责任及保障措施等)方案进行评审：①供应商具有足够的人力、物力等资源保证按时按质按量完成委托的咨询业务，提供优质服务，并制订管理质量控制措施，建立三审制度，明确违约责任、经济赔偿大小，对咨询成果的真实性、准确性制定的相应保障措施，得10分；②供应商能按时完成委托的咨询业务，提供优质服务，并制订管理质量控制措施，三审制度完善，违约责任较为具体，咨询成果的真实性、准确性有充分的保障措施，得5分；③供应商能制定质量保证措施，三审制度明确合理，对咨询成果的真实性、准确性有一定的保障措施，得3分；④供应商基本能完成委托的咨询业务但质量措施不够高效，质量管理目标不明确，质量保证体系不顺畅，三审制度不全面，全过程管理实行不充分，得1分；⑤  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740" w:type="dxa"/>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合计</w:t>
            </w:r>
          </w:p>
        </w:tc>
        <w:tc>
          <w:tcPr>
            <w:tcW w:w="7940" w:type="dxa"/>
            <w:gridSpan w:val="3"/>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45分</w:t>
            </w:r>
          </w:p>
        </w:tc>
      </w:tr>
    </w:tbl>
    <w:p>
      <w:pPr>
        <w:widowControl/>
        <w:jc w:val="left"/>
      </w:pPr>
    </w:p>
    <w:p>
      <w:pPr>
        <w:widowControl/>
        <w:jc w:val="left"/>
      </w:pPr>
    </w:p>
    <w:p>
      <w:pPr>
        <w:widowControl/>
        <w:jc w:val="left"/>
        <w:rPr>
          <w:b/>
        </w:rPr>
      </w:pPr>
      <w:r>
        <w:rPr>
          <w:rFonts w:hint="eastAsia"/>
          <w:b/>
        </w:rPr>
        <w:t>商务评分（4</w:t>
      </w:r>
      <w:r>
        <w:rPr>
          <w:b/>
        </w:rPr>
        <w:t>5</w:t>
      </w:r>
      <w:r>
        <w:rPr>
          <w:rFonts w:hint="eastAsia"/>
          <w:b/>
        </w:rPr>
        <w:t>分）</w:t>
      </w:r>
    </w:p>
    <w:p>
      <w:pPr>
        <w:widowControl/>
        <w:jc w:val="left"/>
      </w:pPr>
    </w:p>
    <w:tbl>
      <w:tblPr>
        <w:tblStyle w:val="8"/>
        <w:tblW w:w="882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700"/>
        <w:gridCol w:w="1660"/>
        <w:gridCol w:w="5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68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序号</w:t>
            </w:r>
          </w:p>
        </w:tc>
        <w:tc>
          <w:tcPr>
            <w:tcW w:w="700" w:type="dxa"/>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分值</w:t>
            </w:r>
          </w:p>
        </w:tc>
        <w:tc>
          <w:tcPr>
            <w:tcW w:w="1660" w:type="dxa"/>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评审内容</w:t>
            </w:r>
          </w:p>
        </w:tc>
        <w:tc>
          <w:tcPr>
            <w:tcW w:w="5780" w:type="dxa"/>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680" w:type="dxa"/>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700" w:type="dxa"/>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6</w:t>
            </w:r>
          </w:p>
        </w:tc>
        <w:tc>
          <w:tcPr>
            <w:tcW w:w="1660"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投标人服务体系认证情况</w:t>
            </w:r>
          </w:p>
        </w:tc>
        <w:tc>
          <w:tcPr>
            <w:tcW w:w="5780"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具备有效的</w:t>
            </w:r>
            <w:r>
              <w:rPr>
                <w:rFonts w:ascii="Times New Roman" w:hAnsi="Times New Roman" w:eastAsia="宋体" w:cs="Times New Roman"/>
                <w:color w:val="000000"/>
                <w:kern w:val="0"/>
                <w:szCs w:val="21"/>
              </w:rPr>
              <w:t> </w:t>
            </w:r>
            <w:r>
              <w:rPr>
                <w:rFonts w:hint="eastAsia" w:ascii="宋体" w:hAnsi="宋体" w:eastAsia="宋体" w:cs="宋体"/>
                <w:color w:val="000000"/>
                <w:kern w:val="0"/>
                <w:szCs w:val="21"/>
              </w:rPr>
              <w:t>①ISO9001质量管理体系认证；②ISO14001环境管理体系认证；③ISO45001</w:t>
            </w:r>
            <w:r>
              <w:rPr>
                <w:rFonts w:ascii="Times New Roman" w:hAnsi="Times New Roman" w:eastAsia="宋体" w:cs="Times New Roman"/>
                <w:color w:val="000000"/>
                <w:kern w:val="0"/>
                <w:szCs w:val="21"/>
              </w:rPr>
              <w:t> </w:t>
            </w:r>
            <w:r>
              <w:rPr>
                <w:rFonts w:hint="eastAsia" w:ascii="宋体" w:hAnsi="宋体" w:eastAsia="宋体" w:cs="宋体"/>
                <w:color w:val="000000"/>
                <w:kern w:val="0"/>
                <w:szCs w:val="21"/>
              </w:rPr>
              <w:t>职业健康安全管理体系认证；④ISO27001信息安全管理体系认证；⑤SA8000标准认证；同时具备上述5项有效的认证证书的得6分；同时具备上述任意3项有效的认证证书的得3分；具备上述其中1项有效的认证证书的得1分；无或其他得0分。备注：提供上述证书/证明文件复印件并加盖供应商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680" w:type="dxa"/>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700" w:type="dxa"/>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8</w:t>
            </w:r>
          </w:p>
        </w:tc>
        <w:tc>
          <w:tcPr>
            <w:tcW w:w="1660"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供应商综合服务能力</w:t>
            </w:r>
          </w:p>
        </w:tc>
        <w:tc>
          <w:tcPr>
            <w:tcW w:w="5780"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具有有效的工程咨询单位甲级资信证书（电子、信息工程），满足此项要求得5分，无不得分。2、具有有效的工程设计资质证书（电子通信广电行业（有线通信）甲级）的，满足此项要求得3分，无不得分。备注：提供上述证书复印件并加盖供应商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680" w:type="dxa"/>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3</w:t>
            </w:r>
          </w:p>
        </w:tc>
        <w:tc>
          <w:tcPr>
            <w:tcW w:w="700" w:type="dxa"/>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12</w:t>
            </w:r>
          </w:p>
        </w:tc>
        <w:tc>
          <w:tcPr>
            <w:tcW w:w="1660"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本项目项目经理的资质情况</w:t>
            </w:r>
          </w:p>
        </w:tc>
        <w:tc>
          <w:tcPr>
            <w:tcW w:w="5780"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1、具有高级工程师职称，得1分；2、具有注册咨询师，得2分； 3、具有信息系统项目管理师（高级），得3分； 4、具有软件工程造价师，得3分；5、注册信息安全工程师（CISP），得3分。备注：提供项目经理的①上述有效的对应证书/证明文件复印件及②本项目投标截止日之前3个月（本项目投标截止日当月不计）在供应商单位的社保缴费流水（须加盖政府有关部门印章，如是多个人社保缴费流水打印页须明确标识出上述对应的人员），均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0" w:hRule="atLeast"/>
        </w:trPr>
        <w:tc>
          <w:tcPr>
            <w:tcW w:w="680" w:type="dxa"/>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w:t>
            </w:r>
          </w:p>
        </w:tc>
        <w:tc>
          <w:tcPr>
            <w:tcW w:w="700" w:type="dxa"/>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13</w:t>
            </w:r>
          </w:p>
        </w:tc>
        <w:tc>
          <w:tcPr>
            <w:tcW w:w="1660"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拟投入本项目的技术团队人员实力</w:t>
            </w:r>
          </w:p>
        </w:tc>
        <w:tc>
          <w:tcPr>
            <w:tcW w:w="5780"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供应商拟投入本项目的技术团队成员中，可根据下述要求匹配进行得分，同一个成员只按此处所列的其中一项得分一次，不重复得分。1、项目组单个成员同时具有高级工程师、注册咨询师（FIDIC认证）、一级建造师（通信与广电工程） ，得3分；2、项目组单个成员同时具有研究生及以上学历、高级工程师、智慧城市大数据规划证书，得3分；3、项目组单个成员同时具备高级工程师（通信工程或者通信技术）、PMP(项目管理专业人士资格认证）、信息安全保障人员认证，得3分；4、项目组单个成员同时具有研究生及以上学历、IPMA(国际项目经理资质认证)证书，得2分；5、项目组单个成员同时具有高级工程师、注册造价师，得2分；备注：提供上述人员①上述有效的对应证书/证明文件复印件及②本项目投标截止日之前3个月（本项目递交响应文件截止日当月不计）在供应商单位的社保缴费流水（须加盖政府有关部门印章，如是多个人的社保缴费流水打印页须明确标识出上述对应的人员），均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atLeast"/>
        </w:trPr>
        <w:tc>
          <w:tcPr>
            <w:tcW w:w="680" w:type="dxa"/>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5</w:t>
            </w:r>
          </w:p>
        </w:tc>
        <w:tc>
          <w:tcPr>
            <w:tcW w:w="700" w:type="dxa"/>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w:t>
            </w:r>
          </w:p>
        </w:tc>
        <w:tc>
          <w:tcPr>
            <w:tcW w:w="1660"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供应商荣誉情况</w:t>
            </w:r>
          </w:p>
        </w:tc>
        <w:tc>
          <w:tcPr>
            <w:tcW w:w="5780"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1）供应商获得工商行政管理部门颁发的“守合同重信用”荣誉证书，得1分。2）2017年以来，供应商获得省级或以上优秀工程咨询成果称号的，每一项得1分，本项最多得3分，无得0分。注：提供证书复印件（加盖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680" w:type="dxa"/>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6</w:t>
            </w:r>
          </w:p>
        </w:tc>
        <w:tc>
          <w:tcPr>
            <w:tcW w:w="700" w:type="dxa"/>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1660"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同类项目经验：依据201</w:t>
            </w:r>
            <w:r>
              <w:rPr>
                <w:rFonts w:hint="eastAsia" w:ascii="宋体" w:hAnsi="宋体" w:eastAsia="宋体" w:cs="宋体"/>
                <w:color w:val="000000"/>
                <w:kern w:val="0"/>
                <w:szCs w:val="21"/>
                <w:lang w:val="en-US" w:eastAsia="zh-CN"/>
              </w:rPr>
              <w:t>9</w:t>
            </w:r>
            <w:r>
              <w:rPr>
                <w:rFonts w:hint="eastAsia" w:ascii="宋体" w:hAnsi="宋体" w:eastAsia="宋体" w:cs="宋体"/>
                <w:color w:val="000000"/>
                <w:kern w:val="0"/>
                <w:szCs w:val="21"/>
              </w:rPr>
              <w:t>年以来完成的政府信息化咨询类项目</w:t>
            </w:r>
            <w:r>
              <w:rPr>
                <w:rFonts w:ascii="Times New Roman" w:hAnsi="Times New Roman" w:eastAsia="宋体" w:cs="Times New Roman"/>
                <w:color w:val="000000"/>
                <w:kern w:val="0"/>
                <w:szCs w:val="21"/>
              </w:rPr>
              <w:t> </w:t>
            </w:r>
            <w:r>
              <w:rPr>
                <w:rFonts w:hint="eastAsia" w:ascii="宋体" w:hAnsi="宋体" w:eastAsia="宋体" w:cs="宋体"/>
                <w:color w:val="000000"/>
                <w:kern w:val="0"/>
                <w:szCs w:val="21"/>
              </w:rPr>
              <w:t>合同情况进行评审。【分支机构投标的，总公司（总所）业绩可纳入评审】</w:t>
            </w:r>
          </w:p>
        </w:tc>
        <w:tc>
          <w:tcPr>
            <w:tcW w:w="5780" w:type="dxa"/>
            <w:shd w:val="clear" w:color="auto" w:fill="auto"/>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每提供一个同类项目经验得0.5分，最高得2分。 提供上述证明文件复印件并加盖供应商公章，不提供不得分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80" w:type="dxa"/>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合计</w:t>
            </w:r>
          </w:p>
        </w:tc>
        <w:tc>
          <w:tcPr>
            <w:tcW w:w="8140" w:type="dxa"/>
            <w:gridSpan w:val="3"/>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45分</w:t>
            </w:r>
          </w:p>
        </w:tc>
      </w:tr>
    </w:tbl>
    <w:p>
      <w:pPr>
        <w:widowControl/>
        <w:jc w:val="left"/>
      </w:pPr>
    </w:p>
    <w:p>
      <w:pPr>
        <w:widowControl/>
        <w:jc w:val="left"/>
      </w:pPr>
    </w:p>
    <w:p>
      <w:pPr>
        <w:widowControl/>
        <w:spacing w:line="360" w:lineRule="auto"/>
        <w:ind w:firstLine="420" w:firstLineChars="200"/>
        <w:jc w:val="left"/>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F01777"/>
    <w:multiLevelType w:val="multilevel"/>
    <w:tmpl w:val="6BF01777"/>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pStyle w:val="2"/>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006B94"/>
    <w:rsid w:val="00012FFE"/>
    <w:rsid w:val="0004248B"/>
    <w:rsid w:val="0005776A"/>
    <w:rsid w:val="000C1E92"/>
    <w:rsid w:val="000D00F6"/>
    <w:rsid w:val="000D51BB"/>
    <w:rsid w:val="001507FE"/>
    <w:rsid w:val="001A4D8A"/>
    <w:rsid w:val="001A6E3C"/>
    <w:rsid w:val="001C0832"/>
    <w:rsid w:val="001E5E40"/>
    <w:rsid w:val="00200550"/>
    <w:rsid w:val="00205C8A"/>
    <w:rsid w:val="0021277F"/>
    <w:rsid w:val="00236C52"/>
    <w:rsid w:val="002539BD"/>
    <w:rsid w:val="00257F14"/>
    <w:rsid w:val="00264B46"/>
    <w:rsid w:val="0027312E"/>
    <w:rsid w:val="00294DEB"/>
    <w:rsid w:val="002A259C"/>
    <w:rsid w:val="002E6597"/>
    <w:rsid w:val="00325B11"/>
    <w:rsid w:val="00327F4B"/>
    <w:rsid w:val="00331E5E"/>
    <w:rsid w:val="00350E9C"/>
    <w:rsid w:val="00353A8D"/>
    <w:rsid w:val="00353C81"/>
    <w:rsid w:val="00370933"/>
    <w:rsid w:val="003D0469"/>
    <w:rsid w:val="003F35FF"/>
    <w:rsid w:val="00412EE2"/>
    <w:rsid w:val="004262FD"/>
    <w:rsid w:val="00426EDA"/>
    <w:rsid w:val="00432563"/>
    <w:rsid w:val="00446BAD"/>
    <w:rsid w:val="0045335C"/>
    <w:rsid w:val="0046188A"/>
    <w:rsid w:val="00462D7A"/>
    <w:rsid w:val="00481359"/>
    <w:rsid w:val="004E1DB4"/>
    <w:rsid w:val="00511150"/>
    <w:rsid w:val="005138E5"/>
    <w:rsid w:val="00514D17"/>
    <w:rsid w:val="00520300"/>
    <w:rsid w:val="00535E20"/>
    <w:rsid w:val="00594AA1"/>
    <w:rsid w:val="005D37A2"/>
    <w:rsid w:val="005D3F11"/>
    <w:rsid w:val="00641305"/>
    <w:rsid w:val="00647441"/>
    <w:rsid w:val="00655915"/>
    <w:rsid w:val="0066182A"/>
    <w:rsid w:val="00661B2E"/>
    <w:rsid w:val="00673D90"/>
    <w:rsid w:val="006837F9"/>
    <w:rsid w:val="00694BAF"/>
    <w:rsid w:val="006A15D4"/>
    <w:rsid w:val="006A47FE"/>
    <w:rsid w:val="006C5C55"/>
    <w:rsid w:val="00710ECC"/>
    <w:rsid w:val="00777673"/>
    <w:rsid w:val="007E2DC3"/>
    <w:rsid w:val="007F2A5F"/>
    <w:rsid w:val="008176CF"/>
    <w:rsid w:val="00823238"/>
    <w:rsid w:val="0086078A"/>
    <w:rsid w:val="00872157"/>
    <w:rsid w:val="008D0860"/>
    <w:rsid w:val="008F379A"/>
    <w:rsid w:val="00904895"/>
    <w:rsid w:val="00931541"/>
    <w:rsid w:val="00937646"/>
    <w:rsid w:val="0095181E"/>
    <w:rsid w:val="009645F7"/>
    <w:rsid w:val="00970282"/>
    <w:rsid w:val="00981B95"/>
    <w:rsid w:val="0099340E"/>
    <w:rsid w:val="00995FFC"/>
    <w:rsid w:val="009976CE"/>
    <w:rsid w:val="00A00C98"/>
    <w:rsid w:val="00A020D7"/>
    <w:rsid w:val="00A15CA6"/>
    <w:rsid w:val="00A60AEA"/>
    <w:rsid w:val="00A7783A"/>
    <w:rsid w:val="00AA05FF"/>
    <w:rsid w:val="00AA2406"/>
    <w:rsid w:val="00AA3398"/>
    <w:rsid w:val="00AA352A"/>
    <w:rsid w:val="00AC5285"/>
    <w:rsid w:val="00AD4573"/>
    <w:rsid w:val="00B073B1"/>
    <w:rsid w:val="00B10400"/>
    <w:rsid w:val="00B21B6D"/>
    <w:rsid w:val="00B452DA"/>
    <w:rsid w:val="00BA76BB"/>
    <w:rsid w:val="00BB6B71"/>
    <w:rsid w:val="00BC12E8"/>
    <w:rsid w:val="00CA144E"/>
    <w:rsid w:val="00CA5082"/>
    <w:rsid w:val="00CA61CF"/>
    <w:rsid w:val="00CC1FAB"/>
    <w:rsid w:val="00CD0228"/>
    <w:rsid w:val="00CD1754"/>
    <w:rsid w:val="00CD3BA2"/>
    <w:rsid w:val="00CE0657"/>
    <w:rsid w:val="00D04839"/>
    <w:rsid w:val="00D26FA1"/>
    <w:rsid w:val="00D4222E"/>
    <w:rsid w:val="00D65B80"/>
    <w:rsid w:val="00D86697"/>
    <w:rsid w:val="00D960D4"/>
    <w:rsid w:val="00DC62EE"/>
    <w:rsid w:val="00DD5891"/>
    <w:rsid w:val="00DE51E5"/>
    <w:rsid w:val="00DF7EF6"/>
    <w:rsid w:val="00E05C6D"/>
    <w:rsid w:val="00E211BB"/>
    <w:rsid w:val="00E530C2"/>
    <w:rsid w:val="00EA1AFD"/>
    <w:rsid w:val="00EA363C"/>
    <w:rsid w:val="00EB0E9B"/>
    <w:rsid w:val="00EC2A5F"/>
    <w:rsid w:val="00ED48E7"/>
    <w:rsid w:val="00EE04BB"/>
    <w:rsid w:val="00F2149D"/>
    <w:rsid w:val="00F2732B"/>
    <w:rsid w:val="00F36A30"/>
    <w:rsid w:val="00F530BF"/>
    <w:rsid w:val="00F80255"/>
    <w:rsid w:val="00F96D1B"/>
    <w:rsid w:val="00FA1266"/>
    <w:rsid w:val="00FA5C9B"/>
    <w:rsid w:val="00FB2FEA"/>
    <w:rsid w:val="00FD0026"/>
    <w:rsid w:val="00FE2809"/>
    <w:rsid w:val="01CB77D7"/>
    <w:rsid w:val="02442952"/>
    <w:rsid w:val="027F01D9"/>
    <w:rsid w:val="03016B55"/>
    <w:rsid w:val="03163855"/>
    <w:rsid w:val="03360D85"/>
    <w:rsid w:val="035612C4"/>
    <w:rsid w:val="03FC7B1D"/>
    <w:rsid w:val="04036826"/>
    <w:rsid w:val="046D2ADA"/>
    <w:rsid w:val="04780F16"/>
    <w:rsid w:val="05821C43"/>
    <w:rsid w:val="058E1103"/>
    <w:rsid w:val="05BC651A"/>
    <w:rsid w:val="060977E9"/>
    <w:rsid w:val="075B6684"/>
    <w:rsid w:val="078D2CAB"/>
    <w:rsid w:val="081611C9"/>
    <w:rsid w:val="0A0A5CAB"/>
    <w:rsid w:val="0A385689"/>
    <w:rsid w:val="0A84577F"/>
    <w:rsid w:val="0B3E0FB4"/>
    <w:rsid w:val="0DEE5676"/>
    <w:rsid w:val="0F020E60"/>
    <w:rsid w:val="0F5D6725"/>
    <w:rsid w:val="0FE96FEB"/>
    <w:rsid w:val="10C405ED"/>
    <w:rsid w:val="116651B0"/>
    <w:rsid w:val="11760F5D"/>
    <w:rsid w:val="11E63565"/>
    <w:rsid w:val="12325569"/>
    <w:rsid w:val="133B04AF"/>
    <w:rsid w:val="14344D72"/>
    <w:rsid w:val="148E56F0"/>
    <w:rsid w:val="14CA47F7"/>
    <w:rsid w:val="1541214F"/>
    <w:rsid w:val="16136429"/>
    <w:rsid w:val="16872905"/>
    <w:rsid w:val="16D71B36"/>
    <w:rsid w:val="179C412D"/>
    <w:rsid w:val="19E00F7D"/>
    <w:rsid w:val="1A0243D9"/>
    <w:rsid w:val="1A3F3D88"/>
    <w:rsid w:val="1AB947AE"/>
    <w:rsid w:val="1B7273BF"/>
    <w:rsid w:val="1C196B94"/>
    <w:rsid w:val="1C590B45"/>
    <w:rsid w:val="1D104B3A"/>
    <w:rsid w:val="1D185121"/>
    <w:rsid w:val="1E633C98"/>
    <w:rsid w:val="1F0735AE"/>
    <w:rsid w:val="21363C2A"/>
    <w:rsid w:val="22E97154"/>
    <w:rsid w:val="251623C1"/>
    <w:rsid w:val="25F45BC1"/>
    <w:rsid w:val="26620973"/>
    <w:rsid w:val="27E1758C"/>
    <w:rsid w:val="280E25E4"/>
    <w:rsid w:val="28705D94"/>
    <w:rsid w:val="287C4AD2"/>
    <w:rsid w:val="294B729B"/>
    <w:rsid w:val="29A22B8A"/>
    <w:rsid w:val="29F63243"/>
    <w:rsid w:val="2A076713"/>
    <w:rsid w:val="2A0E2740"/>
    <w:rsid w:val="2A380A8B"/>
    <w:rsid w:val="2B095414"/>
    <w:rsid w:val="2B5D2827"/>
    <w:rsid w:val="2C2449C1"/>
    <w:rsid w:val="2D751E85"/>
    <w:rsid w:val="2E006B94"/>
    <w:rsid w:val="310F2A35"/>
    <w:rsid w:val="31197223"/>
    <w:rsid w:val="31E72EE1"/>
    <w:rsid w:val="3254021E"/>
    <w:rsid w:val="32BC412A"/>
    <w:rsid w:val="32E2565A"/>
    <w:rsid w:val="33B32DE9"/>
    <w:rsid w:val="357719BA"/>
    <w:rsid w:val="381B6CCD"/>
    <w:rsid w:val="390A6111"/>
    <w:rsid w:val="3A9A5F9C"/>
    <w:rsid w:val="3B6A0C52"/>
    <w:rsid w:val="3C6B2B87"/>
    <w:rsid w:val="3ED40B37"/>
    <w:rsid w:val="3F6E51BA"/>
    <w:rsid w:val="3FF05622"/>
    <w:rsid w:val="427E4AF3"/>
    <w:rsid w:val="42A02DCC"/>
    <w:rsid w:val="42EB5C6C"/>
    <w:rsid w:val="42FF0398"/>
    <w:rsid w:val="433322B8"/>
    <w:rsid w:val="450E66D7"/>
    <w:rsid w:val="46AA50D5"/>
    <w:rsid w:val="470679C0"/>
    <w:rsid w:val="471844C7"/>
    <w:rsid w:val="47360FF2"/>
    <w:rsid w:val="47F42876"/>
    <w:rsid w:val="480F5972"/>
    <w:rsid w:val="493155BC"/>
    <w:rsid w:val="49AC5AD4"/>
    <w:rsid w:val="4C2B48F5"/>
    <w:rsid w:val="4D5D0F2A"/>
    <w:rsid w:val="4DFA3086"/>
    <w:rsid w:val="4E340E4A"/>
    <w:rsid w:val="4F2413B1"/>
    <w:rsid w:val="4FCB7C22"/>
    <w:rsid w:val="50847494"/>
    <w:rsid w:val="50F76BF0"/>
    <w:rsid w:val="523C119F"/>
    <w:rsid w:val="544222F4"/>
    <w:rsid w:val="54605BF3"/>
    <w:rsid w:val="5674505F"/>
    <w:rsid w:val="567E478F"/>
    <w:rsid w:val="569B5222"/>
    <w:rsid w:val="584B0311"/>
    <w:rsid w:val="58F82CA2"/>
    <w:rsid w:val="591144E6"/>
    <w:rsid w:val="59D16F1D"/>
    <w:rsid w:val="5A0E6A3A"/>
    <w:rsid w:val="5C810D59"/>
    <w:rsid w:val="5D785DFC"/>
    <w:rsid w:val="5DD21F0A"/>
    <w:rsid w:val="5E9E39CC"/>
    <w:rsid w:val="5EF64800"/>
    <w:rsid w:val="5F111F7B"/>
    <w:rsid w:val="60FD0B8B"/>
    <w:rsid w:val="60FD72BB"/>
    <w:rsid w:val="61CB1088"/>
    <w:rsid w:val="62216F00"/>
    <w:rsid w:val="627466D3"/>
    <w:rsid w:val="63B52D15"/>
    <w:rsid w:val="63BE36B1"/>
    <w:rsid w:val="65737692"/>
    <w:rsid w:val="65CA237B"/>
    <w:rsid w:val="66B71E2C"/>
    <w:rsid w:val="68273827"/>
    <w:rsid w:val="68D15F5A"/>
    <w:rsid w:val="69EE4833"/>
    <w:rsid w:val="6A0937A8"/>
    <w:rsid w:val="6A132289"/>
    <w:rsid w:val="6B1E4CBD"/>
    <w:rsid w:val="6BF620ED"/>
    <w:rsid w:val="6C71273A"/>
    <w:rsid w:val="6D6452E7"/>
    <w:rsid w:val="6EDB5A89"/>
    <w:rsid w:val="6EE766FD"/>
    <w:rsid w:val="6F6A7405"/>
    <w:rsid w:val="6FBC02AF"/>
    <w:rsid w:val="6FD24771"/>
    <w:rsid w:val="719A08FC"/>
    <w:rsid w:val="71CC271E"/>
    <w:rsid w:val="724E75CC"/>
    <w:rsid w:val="729D20C9"/>
    <w:rsid w:val="74F66AC6"/>
    <w:rsid w:val="75C45BA7"/>
    <w:rsid w:val="75FD5487"/>
    <w:rsid w:val="767C09D6"/>
    <w:rsid w:val="77403494"/>
    <w:rsid w:val="77AE0675"/>
    <w:rsid w:val="77C119FE"/>
    <w:rsid w:val="781650FA"/>
    <w:rsid w:val="792E765E"/>
    <w:rsid w:val="79B4593A"/>
    <w:rsid w:val="7A2F490A"/>
    <w:rsid w:val="7AF31380"/>
    <w:rsid w:val="7B2224D1"/>
    <w:rsid w:val="7B2D632E"/>
    <w:rsid w:val="7B64779E"/>
    <w:rsid w:val="7C2A500E"/>
    <w:rsid w:val="7C5B3AF9"/>
    <w:rsid w:val="7C954E17"/>
    <w:rsid w:val="7D4448CB"/>
    <w:rsid w:val="EF69B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numPr>
        <w:ilvl w:val="2"/>
        <w:numId w:val="1"/>
      </w:numPr>
      <w:spacing w:before="260" w:after="260" w:line="416" w:lineRule="auto"/>
      <w:outlineLvl w:val="2"/>
    </w:pPr>
    <w:rPr>
      <w:rFonts w:ascii="Calibri" w:hAnsi="Calibri" w:cs="黑体"/>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9"/>
    <w:semiHidden/>
    <w:unhideWhenUsed/>
    <w:qFormat/>
    <w:uiPriority w:val="0"/>
    <w:rPr>
      <w:sz w:val="18"/>
      <w:szCs w:val="18"/>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semiHidden/>
    <w:unhideWhenUsed/>
    <w:qFormat/>
    <w:uiPriority w:val="99"/>
    <w:pPr>
      <w:spacing w:after="120"/>
      <w:ind w:left="420" w:leftChars="200"/>
    </w:pPr>
    <w:rPr>
      <w:sz w:val="16"/>
      <w:szCs w:val="16"/>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qFormat/>
    <w:uiPriority w:val="0"/>
    <w:rPr>
      <w:color w:val="0000FF"/>
      <w:u w:val="single"/>
    </w:rPr>
  </w:style>
  <w:style w:type="character" w:styleId="12">
    <w:name w:val="annotation reference"/>
    <w:basedOn w:val="10"/>
    <w:qFormat/>
    <w:uiPriority w:val="0"/>
    <w:rPr>
      <w:sz w:val="21"/>
      <w:szCs w:val="21"/>
    </w:rPr>
  </w:style>
  <w:style w:type="paragraph" w:customStyle="1" w:styleId="13">
    <w:name w:val="_Style 3"/>
    <w:next w:val="7"/>
    <w:qFormat/>
    <w:uiPriority w:val="34"/>
    <w:pPr>
      <w:widowControl w:val="0"/>
      <w:jc w:val="both"/>
    </w:pPr>
    <w:rPr>
      <w:rFonts w:ascii="Times New Roman" w:hAnsi="Times New Roman" w:eastAsia="宋体" w:cs="Times New Roman"/>
      <w:kern w:val="2"/>
      <w:sz w:val="21"/>
      <w:szCs w:val="22"/>
      <w:lang w:val="en-US" w:eastAsia="zh-CN" w:bidi="ar-SA"/>
    </w:rPr>
  </w:style>
  <w:style w:type="paragraph" w:customStyle="1" w:styleId="14">
    <w:name w:val="列表段落1"/>
    <w:basedOn w:val="1"/>
    <w:qFormat/>
    <w:uiPriority w:val="1"/>
    <w:pPr>
      <w:spacing w:line="360" w:lineRule="auto"/>
      <w:ind w:firstLine="420" w:firstLineChars="200"/>
    </w:pPr>
    <w:rPr>
      <w:rFonts w:ascii="Calibri" w:hAnsi="Calibri"/>
      <w:sz w:val="24"/>
    </w:rPr>
  </w:style>
  <w:style w:type="character" w:customStyle="1" w:styleId="15">
    <w:name w:val="页眉 字符"/>
    <w:basedOn w:val="10"/>
    <w:link w:val="6"/>
    <w:qFormat/>
    <w:uiPriority w:val="0"/>
    <w:rPr>
      <w:kern w:val="2"/>
      <w:sz w:val="18"/>
      <w:szCs w:val="18"/>
    </w:rPr>
  </w:style>
  <w:style w:type="character" w:customStyle="1" w:styleId="16">
    <w:name w:val="页脚 字符"/>
    <w:basedOn w:val="10"/>
    <w:link w:val="5"/>
    <w:qFormat/>
    <w:uiPriority w:val="0"/>
    <w:rPr>
      <w:kern w:val="2"/>
      <w:sz w:val="18"/>
      <w:szCs w:val="18"/>
    </w:rPr>
  </w:style>
  <w:style w:type="paragraph" w:styleId="17">
    <w:name w:val="List Paragraph"/>
    <w:basedOn w:val="1"/>
    <w:qFormat/>
    <w:uiPriority w:val="34"/>
    <w:pPr>
      <w:ind w:firstLine="420" w:firstLineChars="200"/>
    </w:pPr>
    <w:rPr>
      <w:rFonts w:ascii="等线" w:hAnsi="等线" w:eastAsia="等线" w:cs="宋体"/>
      <w:szCs w:val="22"/>
    </w:rPr>
  </w:style>
  <w:style w:type="character" w:customStyle="1" w:styleId="18">
    <w:name w:val="[正文不缩] Char Char"/>
    <w:qFormat/>
    <w:uiPriority w:val="0"/>
    <w:rPr>
      <w:rFonts w:hint="default" w:ascii="Tahoma" w:hAnsi="Tahoma" w:cs="Tahoma"/>
      <w:spacing w:val="4"/>
      <w:sz w:val="24"/>
      <w:szCs w:val="24"/>
    </w:rPr>
  </w:style>
  <w:style w:type="character" w:customStyle="1" w:styleId="19">
    <w:name w:val="批注框文本 字符"/>
    <w:basedOn w:val="10"/>
    <w:link w:val="4"/>
    <w:semiHidden/>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省人民政府地方志办公室</Company>
  <Pages>6</Pages>
  <Words>3701</Words>
  <Characters>3806</Characters>
  <Lines>28</Lines>
  <Paragraphs>8</Paragraphs>
  <TotalTime>21</TotalTime>
  <ScaleCrop>false</ScaleCrop>
  <LinksUpToDate>false</LinksUpToDate>
  <CharactersWithSpaces>3825</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2022-03-15T02:33:00Z</dcterms:created>
  <dc:creator>冯伟</dc:creator>
  <cp:lastModifiedBy>Aily Bunny</cp:lastModifiedBy>
  <cp:lastPrinted>2021-11-23T09:28:00Z</cp:lastPrinted>
  <dcterms:modified xsi:type="dcterms:W3CDTF">2022-04-08T02:33:40Z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75D074FBCE9748CB89C1D1855E057379</vt:lpwstr>
  </property>
</Properties>
</file>